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247F2" w14:textId="4B18891F" w:rsidR="001808C6" w:rsidRPr="00BF17FE" w:rsidRDefault="00060075" w:rsidP="00BF17FE">
      <w:pPr>
        <w:spacing w:after="200"/>
        <w:jc w:val="both"/>
        <w:rPr>
          <w:sz w:val="22"/>
          <w:szCs w:val="22"/>
          <w:lang w:val="pl-PL"/>
        </w:rPr>
      </w:pPr>
      <w:proofErr w:type="spellStart"/>
      <w:r w:rsidRPr="00F85F6C">
        <w:rPr>
          <w:sz w:val="22"/>
          <w:szCs w:val="22"/>
          <w:lang w:val="pl"/>
        </w:rPr>
        <w:t>Copa-Cogeca</w:t>
      </w:r>
      <w:proofErr w:type="spellEnd"/>
    </w:p>
    <w:p w14:paraId="510EFEC8" w14:textId="77777777" w:rsidR="001808C6" w:rsidRPr="00BF17FE" w:rsidRDefault="00060075" w:rsidP="00BF17FE">
      <w:pPr>
        <w:spacing w:after="200"/>
        <w:jc w:val="both"/>
        <w:rPr>
          <w:sz w:val="22"/>
          <w:szCs w:val="22"/>
          <w:lang w:val="pl-PL"/>
        </w:rPr>
      </w:pPr>
      <w:r w:rsidRPr="00F85F6C">
        <w:rPr>
          <w:sz w:val="22"/>
          <w:szCs w:val="22"/>
          <w:lang w:val="pl"/>
        </w:rPr>
        <w:fldChar w:fldCharType="begin"/>
      </w:r>
      <w:r w:rsidRPr="00F85F6C">
        <w:rPr>
          <w:sz w:val="22"/>
          <w:szCs w:val="22"/>
          <w:lang w:val="pl"/>
        </w:rPr>
        <w:instrText xml:space="preserve"> DOCPROPERTY  PWThreadMemo  \* MERGEFORMAT </w:instrText>
      </w:r>
      <w:r w:rsidRPr="00F85F6C">
        <w:rPr>
          <w:sz w:val="22"/>
          <w:szCs w:val="22"/>
          <w:lang w:val="pl"/>
        </w:rPr>
        <w:fldChar w:fldCharType="separate"/>
      </w:r>
      <w:r w:rsidRPr="00F85F6C">
        <w:rPr>
          <w:sz w:val="22"/>
          <w:szCs w:val="22"/>
          <w:lang w:val="pl"/>
        </w:rPr>
        <w:t>OV(21)3311:1 – PGL/</w:t>
      </w:r>
      <w:proofErr w:type="spellStart"/>
      <w:r w:rsidRPr="00F85F6C">
        <w:rPr>
          <w:sz w:val="22"/>
          <w:szCs w:val="22"/>
          <w:lang w:val="pl"/>
        </w:rPr>
        <w:t>mb</w:t>
      </w:r>
      <w:proofErr w:type="spellEnd"/>
      <w:r w:rsidRPr="00F85F6C">
        <w:rPr>
          <w:sz w:val="22"/>
          <w:szCs w:val="22"/>
          <w:lang w:val="pl"/>
        </w:rPr>
        <w:fldChar w:fldCharType="end"/>
      </w:r>
    </w:p>
    <w:p w14:paraId="47511FD7" w14:textId="77777777" w:rsidR="00AE0BEA" w:rsidRPr="00BF17FE" w:rsidRDefault="00AE0BEA" w:rsidP="00BF17FE">
      <w:pPr>
        <w:spacing w:after="200"/>
        <w:jc w:val="both"/>
        <w:rPr>
          <w:sz w:val="22"/>
          <w:szCs w:val="22"/>
          <w:lang w:val="pl-PL"/>
        </w:rPr>
      </w:pPr>
    </w:p>
    <w:p w14:paraId="0E3F4523" w14:textId="101ABC78" w:rsidR="00353157" w:rsidRPr="00BF17FE" w:rsidRDefault="00F85F6C" w:rsidP="00BF17FE">
      <w:pPr>
        <w:spacing w:after="160" w:line="259" w:lineRule="auto"/>
        <w:jc w:val="center"/>
        <w:rPr>
          <w:rFonts w:eastAsia="Calibri"/>
          <w:b/>
          <w:bCs/>
          <w:kern w:val="0"/>
          <w:sz w:val="22"/>
          <w:szCs w:val="22"/>
          <w:lang w:val="pl-PL" w:eastAsia="en-US"/>
        </w:rPr>
      </w:pPr>
      <w:bookmarkStart w:id="0" w:name="_Hlk74728204"/>
      <w:r>
        <w:rPr>
          <w:b/>
          <w:kern w:val="0"/>
          <w:sz w:val="22"/>
          <w:szCs w:val="22"/>
          <w:lang w:val="pl"/>
        </w:rPr>
        <w:t>WKŁAD W DOBROSTAN DROBIU I KRÓLIKÓW</w:t>
      </w:r>
    </w:p>
    <w:bookmarkEnd w:id="0"/>
    <w:p w14:paraId="2C4C14E0" w14:textId="762DD235" w:rsidR="004A6B7B" w:rsidRPr="00BF17FE" w:rsidRDefault="00060075" w:rsidP="00BF17FE">
      <w:pPr>
        <w:spacing w:after="160" w:line="259" w:lineRule="auto"/>
        <w:jc w:val="center"/>
        <w:rPr>
          <w:rFonts w:eastAsia="Calibri"/>
          <w:b/>
          <w:bCs/>
          <w:kern w:val="0"/>
          <w:sz w:val="22"/>
          <w:szCs w:val="22"/>
          <w:lang w:val="pl-PL" w:eastAsia="en-US"/>
        </w:rPr>
      </w:pPr>
      <w:r w:rsidRPr="00F85F6C">
        <w:rPr>
          <w:b/>
          <w:kern w:val="0"/>
          <w:sz w:val="22"/>
          <w:szCs w:val="22"/>
          <w:lang w:val="pl"/>
        </w:rPr>
        <w:t>COPA-COGECA</w:t>
      </w:r>
      <w:r w:rsidR="00BF17FE">
        <w:rPr>
          <w:b/>
          <w:kern w:val="0"/>
          <w:sz w:val="22"/>
          <w:szCs w:val="22"/>
          <w:lang w:val="pl"/>
        </w:rPr>
        <w:t xml:space="preserve"> GR </w:t>
      </w:r>
      <w:r w:rsidRPr="00F85F6C">
        <w:rPr>
          <w:b/>
          <w:kern w:val="0"/>
          <w:sz w:val="22"/>
          <w:szCs w:val="22"/>
          <w:lang w:val="pl"/>
        </w:rPr>
        <w:t>DRÓB I JAJA</w:t>
      </w:r>
    </w:p>
    <w:p w14:paraId="7DC9A1F3" w14:textId="77777777" w:rsidR="004A6B7B" w:rsidRPr="00BF17FE" w:rsidRDefault="004A6B7B" w:rsidP="00BF17FE">
      <w:pPr>
        <w:spacing w:after="160" w:line="259" w:lineRule="auto"/>
        <w:jc w:val="both"/>
        <w:rPr>
          <w:rFonts w:eastAsia="Calibri"/>
          <w:kern w:val="0"/>
          <w:sz w:val="22"/>
          <w:szCs w:val="22"/>
          <w:u w:val="single"/>
          <w:lang w:val="pl-PL" w:eastAsia="en-US"/>
        </w:rPr>
      </w:pPr>
    </w:p>
    <w:p w14:paraId="3B56D98B" w14:textId="3AAC3D4A" w:rsidR="00B202B2" w:rsidRPr="00BF17FE" w:rsidRDefault="00060075" w:rsidP="00BF17FE">
      <w:pPr>
        <w:spacing w:after="160" w:line="259" w:lineRule="auto"/>
        <w:jc w:val="both"/>
        <w:rPr>
          <w:rFonts w:eastAsia="Calibri" w:cs="Calibri"/>
          <w:kern w:val="0"/>
          <w:sz w:val="22"/>
          <w:szCs w:val="22"/>
          <w:lang w:val="pl-PL" w:eastAsia="en-US"/>
        </w:rPr>
      </w:pPr>
      <w:r w:rsidRPr="002E58C6">
        <w:rPr>
          <w:kern w:val="0"/>
          <w:sz w:val="22"/>
          <w:szCs w:val="22"/>
          <w:lang w:val="pl"/>
        </w:rPr>
        <w:t xml:space="preserve">Biorąc pod uwagę obecny rozwój polityczny, </w:t>
      </w:r>
      <w:r w:rsidR="00BF17FE">
        <w:rPr>
          <w:kern w:val="0"/>
          <w:sz w:val="22"/>
          <w:szCs w:val="22"/>
          <w:lang w:val="pl"/>
        </w:rPr>
        <w:t>GR Drób i Jaja</w:t>
      </w:r>
      <w:r w:rsidR="00886BC1">
        <w:rPr>
          <w:kern w:val="0"/>
          <w:sz w:val="22"/>
          <w:szCs w:val="22"/>
          <w:lang w:val="pl"/>
        </w:rPr>
        <w:t xml:space="preserve"> zdefiniował</w:t>
      </w:r>
      <w:r w:rsidR="00BF17FE">
        <w:rPr>
          <w:kern w:val="0"/>
          <w:sz w:val="22"/>
          <w:szCs w:val="22"/>
          <w:lang w:val="pl"/>
        </w:rPr>
        <w:t>a</w:t>
      </w:r>
      <w:r>
        <w:rPr>
          <w:lang w:val="pl"/>
        </w:rPr>
        <w:t xml:space="preserve"> </w:t>
      </w:r>
      <w:r w:rsidRPr="002E58C6">
        <w:rPr>
          <w:kern w:val="0"/>
          <w:sz w:val="22"/>
          <w:szCs w:val="22"/>
          <w:lang w:val="pl"/>
        </w:rPr>
        <w:t>trzy główne tematy, którymi sektor jest obecnie zaniepokojony:</w:t>
      </w:r>
    </w:p>
    <w:p w14:paraId="0DE4837D" w14:textId="77777777" w:rsidR="00B202B2" w:rsidRPr="00BF17FE" w:rsidRDefault="00060075" w:rsidP="00BF17FE">
      <w:pPr>
        <w:numPr>
          <w:ilvl w:val="0"/>
          <w:numId w:val="3"/>
        </w:numPr>
        <w:spacing w:after="160" w:line="259" w:lineRule="auto"/>
        <w:contextualSpacing/>
        <w:jc w:val="both"/>
        <w:rPr>
          <w:rFonts w:eastAsia="Calibri" w:cs="Calibri"/>
          <w:kern w:val="0"/>
          <w:sz w:val="22"/>
          <w:szCs w:val="22"/>
          <w:lang w:val="pl-PL" w:eastAsia="en-US"/>
        </w:rPr>
      </w:pPr>
      <w:r w:rsidRPr="002E58C6">
        <w:rPr>
          <w:kern w:val="0"/>
          <w:sz w:val="22"/>
          <w:szCs w:val="22"/>
          <w:lang w:val="pl"/>
        </w:rPr>
        <w:t>Przyszłość produkcji w klatkach dla niektórych gatunków</w:t>
      </w:r>
    </w:p>
    <w:p w14:paraId="12950BA9" w14:textId="77777777" w:rsidR="00B202B2" w:rsidRPr="00BF17FE" w:rsidRDefault="00060075" w:rsidP="00BF17FE">
      <w:pPr>
        <w:numPr>
          <w:ilvl w:val="0"/>
          <w:numId w:val="3"/>
        </w:numPr>
        <w:spacing w:after="160" w:line="259" w:lineRule="auto"/>
        <w:contextualSpacing/>
        <w:jc w:val="both"/>
        <w:rPr>
          <w:rFonts w:eastAsia="Calibri" w:cs="Calibri"/>
          <w:kern w:val="0"/>
          <w:sz w:val="22"/>
          <w:szCs w:val="22"/>
          <w:lang w:val="pl-PL" w:eastAsia="en-US"/>
        </w:rPr>
      </w:pPr>
      <w:r w:rsidRPr="002E58C6">
        <w:rPr>
          <w:kern w:val="0"/>
          <w:sz w:val="22"/>
          <w:szCs w:val="22"/>
          <w:lang w:val="pl"/>
        </w:rPr>
        <w:t>Sektory/gatunki bez istniejących norm minimalnych (indyki, przepiórki, kaczki/gęsi i króliki)</w:t>
      </w:r>
    </w:p>
    <w:p w14:paraId="7AECFD2D" w14:textId="77777777" w:rsidR="00B202B2" w:rsidRPr="00BF17FE" w:rsidRDefault="00060075" w:rsidP="00BF17FE">
      <w:pPr>
        <w:numPr>
          <w:ilvl w:val="0"/>
          <w:numId w:val="3"/>
        </w:numPr>
        <w:spacing w:after="160" w:line="259" w:lineRule="auto"/>
        <w:contextualSpacing/>
        <w:jc w:val="both"/>
        <w:rPr>
          <w:rFonts w:eastAsia="Calibri" w:cs="Calibri"/>
          <w:kern w:val="0"/>
          <w:sz w:val="22"/>
          <w:szCs w:val="22"/>
          <w:lang w:val="pl-PL" w:eastAsia="en-US"/>
        </w:rPr>
      </w:pPr>
      <w:r w:rsidRPr="002E58C6">
        <w:rPr>
          <w:kern w:val="0"/>
          <w:sz w:val="22"/>
          <w:szCs w:val="22"/>
          <w:lang w:val="pl"/>
        </w:rPr>
        <w:t>Inne szczególne kwestie sektorowe (np. przycinanie dziobów i selekcja piskląt płci męskiej)</w:t>
      </w:r>
    </w:p>
    <w:p w14:paraId="70B99CAF" w14:textId="77777777" w:rsidR="00E6255D" w:rsidRPr="00BF17FE" w:rsidRDefault="00E6255D" w:rsidP="00BF17FE">
      <w:pPr>
        <w:spacing w:after="160" w:line="259" w:lineRule="auto"/>
        <w:jc w:val="both"/>
        <w:rPr>
          <w:rFonts w:eastAsia="Calibri" w:cs="Calibri"/>
          <w:kern w:val="0"/>
          <w:sz w:val="22"/>
          <w:szCs w:val="22"/>
          <w:lang w:val="pl-PL" w:eastAsia="en-US"/>
        </w:rPr>
      </w:pPr>
    </w:p>
    <w:p w14:paraId="1BBCD0CD" w14:textId="2E8146F9" w:rsidR="00A83F21" w:rsidRPr="00BF17FE" w:rsidRDefault="00BF17FE" w:rsidP="00BF17FE">
      <w:pPr>
        <w:spacing w:after="160" w:line="259" w:lineRule="auto"/>
        <w:jc w:val="both"/>
        <w:rPr>
          <w:rFonts w:eastAsia="Calibri" w:cs="Calibri"/>
          <w:kern w:val="0"/>
          <w:sz w:val="22"/>
          <w:szCs w:val="22"/>
          <w:lang w:val="pl-PL" w:eastAsia="en-US"/>
        </w:rPr>
      </w:pPr>
      <w:r>
        <w:rPr>
          <w:kern w:val="0"/>
          <w:sz w:val="22"/>
          <w:szCs w:val="22"/>
          <w:lang w:val="pl"/>
        </w:rPr>
        <w:t>GR</w:t>
      </w:r>
      <w:r w:rsidR="00060075" w:rsidRPr="002E58C6">
        <w:rPr>
          <w:kern w:val="0"/>
          <w:sz w:val="22"/>
          <w:szCs w:val="22"/>
          <w:lang w:val="pl"/>
        </w:rPr>
        <w:t xml:space="preserve"> przyczyni się do horyzontalnych pozycji </w:t>
      </w:r>
      <w:proofErr w:type="spellStart"/>
      <w:r w:rsidR="00060075" w:rsidRPr="002E58C6">
        <w:rPr>
          <w:kern w:val="0"/>
          <w:sz w:val="22"/>
          <w:szCs w:val="22"/>
          <w:lang w:val="pl"/>
        </w:rPr>
        <w:t>Copa-Cogeca</w:t>
      </w:r>
      <w:proofErr w:type="spellEnd"/>
      <w:r w:rsidR="00060075" w:rsidRPr="002E58C6">
        <w:rPr>
          <w:kern w:val="0"/>
          <w:sz w:val="22"/>
          <w:szCs w:val="22"/>
          <w:lang w:val="pl"/>
        </w:rPr>
        <w:t xml:space="preserve"> i będzie składać sprawozdania Prezydium, gdy </w:t>
      </w:r>
      <w:r w:rsidR="00886BC1">
        <w:rPr>
          <w:kern w:val="0"/>
          <w:sz w:val="22"/>
          <w:szCs w:val="22"/>
          <w:lang w:val="pl"/>
        </w:rPr>
        <w:t>będzie</w:t>
      </w:r>
      <w:r w:rsidR="00060075">
        <w:rPr>
          <w:lang w:val="pl"/>
        </w:rPr>
        <w:t xml:space="preserve"> </w:t>
      </w:r>
      <w:r w:rsidR="00060075" w:rsidRPr="002E58C6">
        <w:rPr>
          <w:kern w:val="0"/>
          <w:sz w:val="22"/>
          <w:szCs w:val="22"/>
          <w:lang w:val="pl"/>
        </w:rPr>
        <w:t xml:space="preserve"> to konieczne, ponieważ zostało to już zrobione w przeszłości (</w:t>
      </w:r>
      <w:hyperlink r:id="rId8" w:history="1">
        <w:r w:rsidR="00060075" w:rsidRPr="002E58C6">
          <w:rPr>
            <w:rStyle w:val="Hipercze"/>
            <w:kern w:val="0"/>
            <w:sz w:val="22"/>
            <w:szCs w:val="22"/>
            <w:lang w:val="pl"/>
          </w:rPr>
          <w:t>AHW(21)3803</w:t>
        </w:r>
      </w:hyperlink>
      <w:r w:rsidR="00060075" w:rsidRPr="002E58C6">
        <w:rPr>
          <w:kern w:val="0"/>
          <w:sz w:val="22"/>
          <w:szCs w:val="22"/>
          <w:lang w:val="pl"/>
        </w:rPr>
        <w:t xml:space="preserve">). Dzięki dokumentowi strategicznemu </w:t>
      </w:r>
      <w:r>
        <w:rPr>
          <w:kern w:val="0"/>
          <w:sz w:val="22"/>
          <w:szCs w:val="22"/>
          <w:lang w:val="pl"/>
        </w:rPr>
        <w:t>GR</w:t>
      </w:r>
      <w:r w:rsidR="00060075" w:rsidRPr="002E58C6">
        <w:rPr>
          <w:kern w:val="0"/>
          <w:sz w:val="22"/>
          <w:szCs w:val="22"/>
          <w:lang w:val="pl"/>
        </w:rPr>
        <w:t xml:space="preserve"> będzie mogła reagować na propozycje interesariuszy politycznych lub lobbować za progresywnym podejściem. </w:t>
      </w:r>
    </w:p>
    <w:p w14:paraId="4DBFB80C" w14:textId="4D8F2332" w:rsidR="004A6B7B" w:rsidRPr="00BF17FE" w:rsidRDefault="00060075" w:rsidP="00BF17FE">
      <w:pPr>
        <w:spacing w:after="160" w:line="259" w:lineRule="auto"/>
        <w:jc w:val="both"/>
        <w:rPr>
          <w:rFonts w:eastAsia="Calibri" w:cs="Calibri"/>
          <w:kern w:val="0"/>
          <w:sz w:val="22"/>
          <w:szCs w:val="22"/>
          <w:lang w:val="pl-PL" w:eastAsia="en-US"/>
        </w:rPr>
      </w:pPr>
      <w:r w:rsidRPr="002E58C6">
        <w:rPr>
          <w:kern w:val="0"/>
          <w:sz w:val="22"/>
          <w:szCs w:val="22"/>
          <w:lang w:val="pl"/>
        </w:rPr>
        <w:t xml:space="preserve">Proponowana strategia będzie dynamicznym dokumentem, który będzie dostosowywany do rozwoju sytuacji politycznej. </w:t>
      </w:r>
      <w:r>
        <w:rPr>
          <w:lang w:val="pl"/>
        </w:rPr>
        <w:t xml:space="preserve"> </w:t>
      </w:r>
      <w:r w:rsidRPr="002E58C6">
        <w:rPr>
          <w:kern w:val="0"/>
          <w:sz w:val="22"/>
          <w:szCs w:val="22"/>
          <w:lang w:val="pl"/>
        </w:rPr>
        <w:t xml:space="preserve"> Opiera się na wkładzie w badanie dotyczące dobrostanu drobiu, które zostało wysłane do członków w marcu 2021 r. Po debacie</w:t>
      </w:r>
      <w:r w:rsidR="00DA57AA">
        <w:rPr>
          <w:kern w:val="0"/>
          <w:sz w:val="22"/>
          <w:szCs w:val="22"/>
          <w:lang w:val="pl"/>
        </w:rPr>
        <w:t xml:space="preserve"> w</w:t>
      </w:r>
      <w:r w:rsidR="00BF17FE">
        <w:rPr>
          <w:kern w:val="0"/>
          <w:sz w:val="22"/>
          <w:szCs w:val="22"/>
          <w:lang w:val="pl"/>
        </w:rPr>
        <w:t xml:space="preserve"> GR </w:t>
      </w:r>
      <w:r w:rsidR="00DA57AA">
        <w:rPr>
          <w:kern w:val="0"/>
          <w:sz w:val="22"/>
          <w:szCs w:val="22"/>
          <w:lang w:val="pl"/>
        </w:rPr>
        <w:t>Drób i jaja w dniu 12 maja</w:t>
      </w:r>
      <w:r>
        <w:rPr>
          <w:lang w:val="pl"/>
        </w:rPr>
        <w:t xml:space="preserve"> i</w:t>
      </w:r>
      <w:r w:rsidRPr="002E58C6">
        <w:rPr>
          <w:kern w:val="0"/>
          <w:sz w:val="22"/>
          <w:szCs w:val="22"/>
          <w:lang w:val="pl"/>
        </w:rPr>
        <w:t xml:space="preserve"> wydarzeniach politycznych, Przewodniczący zaproponował, że wnioski ze spotkania</w:t>
      </w:r>
      <w:r w:rsidR="00BF17FE">
        <w:rPr>
          <w:kern w:val="0"/>
          <w:sz w:val="22"/>
          <w:szCs w:val="22"/>
          <w:lang w:val="pl"/>
        </w:rPr>
        <w:t xml:space="preserve"> GR </w:t>
      </w:r>
      <w:r w:rsidRPr="002E58C6">
        <w:rPr>
          <w:kern w:val="0"/>
          <w:sz w:val="22"/>
          <w:szCs w:val="22"/>
          <w:lang w:val="pl"/>
        </w:rPr>
        <w:t>zostaną podsumowane w dokumencie politycznym do pisemnego zatwierdzenia. Wnioski zostały również przedstawione na</w:t>
      </w:r>
      <w:r w:rsidR="00BF17FE">
        <w:rPr>
          <w:kern w:val="0"/>
          <w:sz w:val="22"/>
          <w:szCs w:val="22"/>
          <w:lang w:val="pl"/>
        </w:rPr>
        <w:t xml:space="preserve"> GR Dobrostan zwierząt</w:t>
      </w:r>
      <w:r w:rsidRPr="002E58C6">
        <w:rPr>
          <w:kern w:val="0"/>
          <w:sz w:val="22"/>
          <w:szCs w:val="22"/>
          <w:lang w:val="pl"/>
        </w:rPr>
        <w:t xml:space="preserve"> i </w:t>
      </w:r>
      <w:proofErr w:type="spellStart"/>
      <w:r w:rsidRPr="002E58C6">
        <w:rPr>
          <w:kern w:val="0"/>
          <w:sz w:val="22"/>
          <w:szCs w:val="22"/>
          <w:lang w:val="pl"/>
        </w:rPr>
        <w:t>Copa-Cogeca</w:t>
      </w:r>
      <w:proofErr w:type="spellEnd"/>
      <w:r w:rsidRPr="002E58C6">
        <w:rPr>
          <w:kern w:val="0"/>
          <w:sz w:val="22"/>
          <w:szCs w:val="22"/>
          <w:lang w:val="pl"/>
        </w:rPr>
        <w:t xml:space="preserve"> </w:t>
      </w:r>
      <w:proofErr w:type="spellStart"/>
      <w:r w:rsidRPr="002E58C6">
        <w:rPr>
          <w:kern w:val="0"/>
          <w:sz w:val="22"/>
          <w:szCs w:val="22"/>
          <w:lang w:val="pl"/>
        </w:rPr>
        <w:t>Praesidia</w:t>
      </w:r>
      <w:proofErr w:type="spellEnd"/>
      <w:r w:rsidRPr="002E58C6">
        <w:rPr>
          <w:kern w:val="0"/>
          <w:sz w:val="22"/>
          <w:szCs w:val="22"/>
          <w:lang w:val="pl"/>
        </w:rPr>
        <w:t xml:space="preserve"> (</w:t>
      </w:r>
      <w:hyperlink r:id="rId9" w:history="1">
        <w:r w:rsidRPr="002E58C6">
          <w:rPr>
            <w:rStyle w:val="Hipercze"/>
            <w:kern w:val="0"/>
            <w:sz w:val="22"/>
            <w:szCs w:val="22"/>
            <w:lang w:val="pl"/>
          </w:rPr>
          <w:t>OV(21)3761</w:t>
        </w:r>
      </w:hyperlink>
      <w:r w:rsidRPr="002E58C6">
        <w:rPr>
          <w:kern w:val="0"/>
          <w:sz w:val="22"/>
          <w:szCs w:val="22"/>
          <w:lang w:val="pl"/>
        </w:rPr>
        <w:t xml:space="preserve">). Biorąc pod uwagę wysoką presję polityczną, </w:t>
      </w:r>
      <w:proofErr w:type="spellStart"/>
      <w:r w:rsidRPr="002E58C6">
        <w:rPr>
          <w:kern w:val="0"/>
          <w:sz w:val="22"/>
          <w:szCs w:val="22"/>
          <w:lang w:val="pl"/>
        </w:rPr>
        <w:t>Copa-Cogeca</w:t>
      </w:r>
      <w:proofErr w:type="spellEnd"/>
      <w:r w:rsidRPr="002E58C6">
        <w:rPr>
          <w:kern w:val="0"/>
          <w:sz w:val="22"/>
          <w:szCs w:val="22"/>
          <w:lang w:val="pl"/>
        </w:rPr>
        <w:t xml:space="preserve"> musi zaangażować się w obecną debatę z pozytywnym przesłaniem</w:t>
      </w:r>
      <w:r w:rsidR="00DA57AA">
        <w:rPr>
          <w:kern w:val="0"/>
          <w:sz w:val="22"/>
          <w:szCs w:val="22"/>
          <w:lang w:val="pl"/>
        </w:rPr>
        <w:t>. Po nieoficjalnym posiedzeniu</w:t>
      </w:r>
      <w:r w:rsidR="00BF17FE">
        <w:rPr>
          <w:kern w:val="0"/>
          <w:sz w:val="22"/>
          <w:szCs w:val="22"/>
          <w:lang w:val="pl"/>
        </w:rPr>
        <w:t xml:space="preserve"> GR </w:t>
      </w:r>
      <w:r w:rsidR="00DA57AA">
        <w:rPr>
          <w:kern w:val="0"/>
          <w:sz w:val="22"/>
          <w:szCs w:val="22"/>
          <w:lang w:val="pl"/>
        </w:rPr>
        <w:t>18</w:t>
      </w:r>
      <w:r>
        <w:rPr>
          <w:lang w:val="pl"/>
        </w:rPr>
        <w:t xml:space="preserve"> czerwca </w:t>
      </w:r>
      <w:r w:rsidR="00886BC1">
        <w:rPr>
          <w:kern w:val="0"/>
          <w:sz w:val="22"/>
          <w:szCs w:val="22"/>
          <w:lang w:val="pl"/>
        </w:rPr>
        <w:t>zaproponowano</w:t>
      </w:r>
      <w:r w:rsidR="00DA57AA">
        <w:rPr>
          <w:kern w:val="0"/>
          <w:sz w:val="22"/>
          <w:szCs w:val="22"/>
          <w:lang w:val="pl"/>
        </w:rPr>
        <w:t xml:space="preserve"> zmieniony dokument z konkretnymi zobowiązaniami.  </w:t>
      </w:r>
    </w:p>
    <w:p w14:paraId="4F047BCD" w14:textId="7108D462" w:rsidR="00982DA0" w:rsidRPr="00BF17FE" w:rsidRDefault="00060075" w:rsidP="00BF17FE">
      <w:pPr>
        <w:spacing w:after="160" w:line="259" w:lineRule="auto"/>
        <w:jc w:val="both"/>
        <w:rPr>
          <w:rFonts w:eastAsia="Calibri" w:cs="Calibri"/>
          <w:kern w:val="0"/>
          <w:sz w:val="22"/>
          <w:szCs w:val="22"/>
          <w:lang w:val="pl-PL" w:eastAsia="en-US"/>
        </w:rPr>
      </w:pPr>
      <w:r w:rsidRPr="002E58C6">
        <w:rPr>
          <w:kern w:val="0"/>
          <w:sz w:val="22"/>
          <w:szCs w:val="22"/>
          <w:lang w:val="pl"/>
        </w:rPr>
        <w:t xml:space="preserve">Ponadto Sekretariat ocenia wykonalność oceny skutków dotyczącej potencjalnego stopniowego wycofywania klatek, aby upewnić się, że sektor może wesprzeć dyskusję danymi naukowymi i obliczeniami. Członkowie zostaną </w:t>
      </w:r>
      <w:r w:rsidR="00906554">
        <w:rPr>
          <w:kern w:val="0"/>
          <w:sz w:val="22"/>
          <w:szCs w:val="22"/>
          <w:lang w:val="pl"/>
        </w:rPr>
        <w:t>wkrótce</w:t>
      </w:r>
      <w:r>
        <w:rPr>
          <w:lang w:val="pl"/>
        </w:rPr>
        <w:t xml:space="preserve"> poinformowani o potencjalnych zmianach w tym procesie oceny.</w:t>
      </w:r>
    </w:p>
    <w:p w14:paraId="7AC8B1C7" w14:textId="43014087" w:rsidR="00906554" w:rsidRPr="00BF17FE" w:rsidRDefault="00906554" w:rsidP="00BF17FE">
      <w:pPr>
        <w:spacing w:after="160" w:line="259" w:lineRule="auto"/>
        <w:jc w:val="both"/>
        <w:rPr>
          <w:rFonts w:eastAsia="Calibri" w:cs="Calibri"/>
          <w:kern w:val="0"/>
          <w:sz w:val="22"/>
          <w:szCs w:val="22"/>
          <w:u w:val="single"/>
          <w:lang w:val="pl-PL" w:eastAsia="en-US"/>
        </w:rPr>
      </w:pPr>
      <w:r w:rsidRPr="00906554">
        <w:rPr>
          <w:kern w:val="0"/>
          <w:sz w:val="22"/>
          <w:szCs w:val="22"/>
          <w:u w:val="single"/>
          <w:lang w:val="pl"/>
        </w:rPr>
        <w:t>Harmonogram Komisji Europejskiej:</w:t>
      </w:r>
    </w:p>
    <w:p w14:paraId="008848BD" w14:textId="08E89D5A" w:rsidR="00906554" w:rsidRPr="00BF17FE" w:rsidRDefault="00906554" w:rsidP="00BF17FE">
      <w:pPr>
        <w:spacing w:after="160" w:line="259" w:lineRule="auto"/>
        <w:jc w:val="both"/>
        <w:rPr>
          <w:rFonts w:eastAsia="Calibri" w:cs="Calibri"/>
          <w:kern w:val="0"/>
          <w:sz w:val="22"/>
          <w:szCs w:val="22"/>
          <w:lang w:val="pl-PL" w:eastAsia="en-US"/>
        </w:rPr>
      </w:pPr>
      <w:r>
        <w:rPr>
          <w:kern w:val="0"/>
          <w:sz w:val="22"/>
          <w:szCs w:val="22"/>
          <w:lang w:val="pl"/>
        </w:rPr>
        <w:t>Trwa przegląd</w:t>
      </w:r>
      <w:r w:rsidRPr="00906554">
        <w:rPr>
          <w:kern w:val="0"/>
          <w:sz w:val="22"/>
          <w:szCs w:val="22"/>
          <w:lang w:val="pl"/>
        </w:rPr>
        <w:t xml:space="preserve"> obowiązujących przepisów</w:t>
      </w:r>
      <w:r>
        <w:rPr>
          <w:lang w:val="pl"/>
        </w:rPr>
        <w:t xml:space="preserve"> </w:t>
      </w:r>
      <w:r w:rsidRPr="00906554">
        <w:rPr>
          <w:kern w:val="0"/>
          <w:sz w:val="22"/>
          <w:szCs w:val="22"/>
          <w:lang w:val="pl"/>
        </w:rPr>
        <w:t>dotyczących dobrostanu</w:t>
      </w:r>
      <w:r>
        <w:rPr>
          <w:lang w:val="pl"/>
        </w:rPr>
        <w:t xml:space="preserve"> </w:t>
      </w:r>
      <w:r>
        <w:rPr>
          <w:kern w:val="0"/>
          <w:sz w:val="22"/>
          <w:szCs w:val="22"/>
          <w:lang w:val="pl"/>
        </w:rPr>
        <w:t>zwierząt. Ponadto</w:t>
      </w:r>
      <w:r>
        <w:rPr>
          <w:lang w:val="pl"/>
        </w:rPr>
        <w:t xml:space="preserve"> w lipcu Komisja</w:t>
      </w:r>
      <w:r w:rsidRPr="00906554">
        <w:rPr>
          <w:kern w:val="0"/>
          <w:sz w:val="22"/>
          <w:szCs w:val="22"/>
          <w:lang w:val="pl"/>
        </w:rPr>
        <w:t xml:space="preserve"> opublikowała wstępną ocenę skutków, </w:t>
      </w:r>
      <w:r w:rsidR="00AE5053">
        <w:rPr>
          <w:kern w:val="0"/>
          <w:sz w:val="22"/>
          <w:szCs w:val="22"/>
          <w:lang w:val="pl"/>
        </w:rPr>
        <w:t>do</w:t>
      </w:r>
      <w:r w:rsidRPr="00906554">
        <w:rPr>
          <w:kern w:val="0"/>
          <w:sz w:val="22"/>
          <w:szCs w:val="22"/>
          <w:lang w:val="pl"/>
        </w:rPr>
        <w:t xml:space="preserve"> </w:t>
      </w:r>
      <w:r>
        <w:rPr>
          <w:lang w:val="pl"/>
        </w:rPr>
        <w:t>której</w:t>
      </w:r>
      <w:r>
        <w:rPr>
          <w:kern w:val="0"/>
          <w:sz w:val="22"/>
          <w:szCs w:val="22"/>
          <w:lang w:val="pl"/>
        </w:rPr>
        <w:t xml:space="preserve"> przyczyniła się</w:t>
      </w:r>
      <w:r>
        <w:rPr>
          <w:lang w:val="pl"/>
        </w:rPr>
        <w:t xml:space="preserve"> </w:t>
      </w:r>
      <w:proofErr w:type="spellStart"/>
      <w:r>
        <w:rPr>
          <w:kern w:val="0"/>
          <w:sz w:val="22"/>
          <w:szCs w:val="22"/>
          <w:lang w:val="pl"/>
        </w:rPr>
        <w:t>Copa-Cogeca</w:t>
      </w:r>
      <w:proofErr w:type="spellEnd"/>
      <w:r>
        <w:rPr>
          <w:kern w:val="0"/>
          <w:sz w:val="22"/>
          <w:szCs w:val="22"/>
          <w:lang w:val="pl"/>
        </w:rPr>
        <w:t>.</w:t>
      </w:r>
      <w:r>
        <w:rPr>
          <w:lang w:val="pl"/>
        </w:rPr>
        <w:t xml:space="preserve">  </w:t>
      </w:r>
      <w:r>
        <w:rPr>
          <w:kern w:val="0"/>
          <w:sz w:val="22"/>
          <w:szCs w:val="22"/>
          <w:lang w:val="pl"/>
        </w:rPr>
        <w:t>Komisja</w:t>
      </w:r>
      <w:r>
        <w:rPr>
          <w:lang w:val="pl"/>
        </w:rPr>
        <w:t xml:space="preserve"> </w:t>
      </w:r>
      <w:r>
        <w:rPr>
          <w:kern w:val="0"/>
          <w:sz w:val="22"/>
          <w:szCs w:val="22"/>
          <w:lang w:val="pl"/>
        </w:rPr>
        <w:t>wkrótce</w:t>
      </w:r>
      <w:r>
        <w:rPr>
          <w:lang w:val="pl"/>
        </w:rPr>
        <w:t xml:space="preserve"> uruchomi kwestionariusz w tej</w:t>
      </w:r>
      <w:r w:rsidRPr="00906554">
        <w:rPr>
          <w:kern w:val="0"/>
          <w:sz w:val="22"/>
          <w:szCs w:val="22"/>
          <w:lang w:val="pl"/>
        </w:rPr>
        <w:t xml:space="preserve"> sprawie </w:t>
      </w:r>
      <w:r>
        <w:rPr>
          <w:lang w:val="pl"/>
        </w:rPr>
        <w:t>i</w:t>
      </w:r>
      <w:r w:rsidRPr="00906554">
        <w:rPr>
          <w:kern w:val="0"/>
          <w:sz w:val="22"/>
          <w:szCs w:val="22"/>
          <w:lang w:val="pl"/>
        </w:rPr>
        <w:t xml:space="preserve"> zorganizuje w listopadzie konferencję zainteresowanych stron.</w:t>
      </w:r>
      <w:r>
        <w:rPr>
          <w:lang w:val="pl"/>
        </w:rPr>
        <w:t xml:space="preserve"> </w:t>
      </w:r>
      <w:r>
        <w:rPr>
          <w:kern w:val="0"/>
          <w:sz w:val="22"/>
          <w:szCs w:val="22"/>
          <w:lang w:val="pl"/>
        </w:rPr>
        <w:t xml:space="preserve"> </w:t>
      </w:r>
      <w:r>
        <w:rPr>
          <w:lang w:val="pl"/>
        </w:rPr>
        <w:t xml:space="preserve"> </w:t>
      </w:r>
      <w:r>
        <w:rPr>
          <w:kern w:val="0"/>
          <w:sz w:val="22"/>
          <w:szCs w:val="22"/>
          <w:lang w:val="pl"/>
        </w:rPr>
        <w:t xml:space="preserve">Obecnie </w:t>
      </w:r>
      <w:r>
        <w:rPr>
          <w:lang w:val="pl"/>
        </w:rPr>
        <w:t xml:space="preserve"> </w:t>
      </w:r>
      <w:r w:rsidRPr="00906554">
        <w:rPr>
          <w:kern w:val="0"/>
          <w:sz w:val="22"/>
          <w:szCs w:val="22"/>
          <w:lang w:val="pl"/>
        </w:rPr>
        <w:t xml:space="preserve">przygotowują </w:t>
      </w:r>
      <w:r>
        <w:rPr>
          <w:lang w:val="pl"/>
        </w:rPr>
        <w:t xml:space="preserve">również zaproszenie do </w:t>
      </w:r>
      <w:r w:rsidRPr="00906554">
        <w:rPr>
          <w:kern w:val="0"/>
          <w:sz w:val="22"/>
          <w:szCs w:val="22"/>
          <w:lang w:val="pl"/>
        </w:rPr>
        <w:t xml:space="preserve">oceny adekwatności </w:t>
      </w:r>
      <w:r>
        <w:rPr>
          <w:lang w:val="pl"/>
        </w:rPr>
        <w:t xml:space="preserve">i </w:t>
      </w:r>
      <w:r>
        <w:rPr>
          <w:kern w:val="0"/>
          <w:sz w:val="22"/>
          <w:szCs w:val="22"/>
          <w:lang w:val="pl"/>
        </w:rPr>
        <w:t xml:space="preserve"> </w:t>
      </w:r>
      <w:r>
        <w:rPr>
          <w:lang w:val="pl"/>
        </w:rPr>
        <w:t xml:space="preserve">oceny </w:t>
      </w:r>
      <w:r>
        <w:rPr>
          <w:kern w:val="0"/>
          <w:sz w:val="22"/>
          <w:szCs w:val="22"/>
          <w:lang w:val="pl"/>
        </w:rPr>
        <w:t xml:space="preserve">skutków. </w:t>
      </w:r>
      <w:r>
        <w:rPr>
          <w:lang w:val="pl"/>
        </w:rPr>
        <w:t xml:space="preserve"> </w:t>
      </w:r>
      <w:r w:rsidRPr="00906554">
        <w:rPr>
          <w:kern w:val="0"/>
          <w:sz w:val="22"/>
          <w:szCs w:val="22"/>
          <w:lang w:val="pl"/>
        </w:rPr>
        <w:t xml:space="preserve"> Celem byłaby kontrola sprawności w połowie przyszłego roku. Ocena skutków ma zostać sfinalizowana do końca 2022 r. lub na początku 2023 r. Komisja</w:t>
      </w:r>
      <w:r>
        <w:rPr>
          <w:lang w:val="pl"/>
        </w:rPr>
        <w:t xml:space="preserve"> </w:t>
      </w:r>
      <w:r>
        <w:rPr>
          <w:kern w:val="0"/>
          <w:sz w:val="22"/>
          <w:szCs w:val="22"/>
          <w:lang w:val="pl"/>
        </w:rPr>
        <w:t xml:space="preserve"> </w:t>
      </w:r>
      <w:r>
        <w:rPr>
          <w:lang w:val="pl"/>
        </w:rPr>
        <w:t xml:space="preserve"> </w:t>
      </w:r>
      <w:r w:rsidRPr="00906554">
        <w:rPr>
          <w:kern w:val="0"/>
          <w:sz w:val="22"/>
          <w:szCs w:val="22"/>
          <w:lang w:val="pl"/>
        </w:rPr>
        <w:t>oczekuje,</w:t>
      </w:r>
      <w:r>
        <w:rPr>
          <w:lang w:val="pl"/>
        </w:rPr>
        <w:t xml:space="preserve"> że do końca roku będą w</w:t>
      </w:r>
      <w:r w:rsidRPr="00906554">
        <w:rPr>
          <w:kern w:val="0"/>
          <w:sz w:val="22"/>
          <w:szCs w:val="22"/>
          <w:lang w:val="pl"/>
        </w:rPr>
        <w:t xml:space="preserve"> stanie zaproponować przepisy wraz z wynikami oceny skutków w 2023</w:t>
      </w:r>
      <w:r>
        <w:rPr>
          <w:lang w:val="pl"/>
        </w:rPr>
        <w:t xml:space="preserve"> </w:t>
      </w:r>
      <w:r>
        <w:rPr>
          <w:kern w:val="0"/>
          <w:sz w:val="22"/>
          <w:szCs w:val="22"/>
          <w:lang w:val="pl"/>
        </w:rPr>
        <w:t xml:space="preserve"> r.</w:t>
      </w:r>
    </w:p>
    <w:p w14:paraId="7A0E4056" w14:textId="388FD26C" w:rsidR="004A6B7B" w:rsidRPr="00BF17FE" w:rsidRDefault="003F40F3" w:rsidP="00BF17FE">
      <w:pPr>
        <w:spacing w:after="160" w:line="259" w:lineRule="auto"/>
        <w:jc w:val="both"/>
        <w:rPr>
          <w:rFonts w:eastAsia="Calibri" w:cs="Calibri"/>
          <w:b/>
          <w:bCs/>
          <w:kern w:val="0"/>
          <w:sz w:val="22"/>
          <w:szCs w:val="22"/>
          <w:lang w:val="pl-PL" w:eastAsia="en-US"/>
        </w:rPr>
      </w:pPr>
      <w:r>
        <w:rPr>
          <w:kern w:val="0"/>
          <w:sz w:val="22"/>
          <w:szCs w:val="22"/>
          <w:lang w:val="pl"/>
        </w:rPr>
        <w:br w:type="page"/>
      </w:r>
      <w:r w:rsidR="00060075" w:rsidRPr="002E58C6">
        <w:rPr>
          <w:b/>
          <w:kern w:val="0"/>
          <w:sz w:val="22"/>
          <w:szCs w:val="22"/>
          <w:lang w:val="pl"/>
        </w:rPr>
        <w:lastRenderedPageBreak/>
        <w:t>Wprowadzenie</w:t>
      </w:r>
    </w:p>
    <w:p w14:paraId="625A842E" w14:textId="66255372" w:rsidR="004A6B7B" w:rsidRPr="00BF17FE" w:rsidRDefault="00060075" w:rsidP="00BF17FE">
      <w:pPr>
        <w:spacing w:after="160" w:line="259" w:lineRule="auto"/>
        <w:jc w:val="both"/>
        <w:rPr>
          <w:rFonts w:eastAsia="Calibri" w:cs="Calibri"/>
          <w:kern w:val="0"/>
          <w:sz w:val="22"/>
          <w:szCs w:val="22"/>
          <w:lang w:val="pl-PL" w:eastAsia="en-US"/>
        </w:rPr>
      </w:pPr>
      <w:r w:rsidRPr="002E58C6">
        <w:rPr>
          <w:kern w:val="0"/>
          <w:sz w:val="22"/>
          <w:szCs w:val="22"/>
          <w:lang w:val="pl"/>
        </w:rPr>
        <w:t xml:space="preserve">W grudniu 2019 r. Komisja Europejska przedstawiła Europejski Zielony Ład, który ma uczynić gospodarkę UE bardziej zrównoważoną. Jednym z jej celów jest również poprawa naszego systemu żywnościowego, co podsumowano w strategii Od pola do stołu. Komisja Europejska dąży do tego, aby nasze systemy żywnościowe były bardziej sprawiedliwe, zdrowsze i przyjazne dla środowiska. W ramach strategii "od pola do stołu" Komisja Europejska </w:t>
      </w:r>
      <w:r w:rsidR="00906554">
        <w:rPr>
          <w:kern w:val="0"/>
          <w:sz w:val="22"/>
          <w:szCs w:val="22"/>
          <w:lang w:val="pl"/>
        </w:rPr>
        <w:t>dokonuje również przeglądu</w:t>
      </w:r>
      <w:r>
        <w:rPr>
          <w:lang w:val="pl"/>
        </w:rPr>
        <w:t xml:space="preserve"> </w:t>
      </w:r>
      <w:r w:rsidRPr="002E58C6">
        <w:rPr>
          <w:kern w:val="0"/>
          <w:sz w:val="22"/>
          <w:szCs w:val="22"/>
          <w:lang w:val="pl"/>
        </w:rPr>
        <w:t>przepisów dotyczących dobrostanu zwierząt,</w:t>
      </w:r>
      <w:r>
        <w:rPr>
          <w:lang w:val="pl"/>
        </w:rPr>
        <w:t xml:space="preserve"> </w:t>
      </w:r>
      <w:r w:rsidR="00906554">
        <w:rPr>
          <w:kern w:val="0"/>
          <w:sz w:val="22"/>
          <w:szCs w:val="22"/>
          <w:lang w:val="pl"/>
        </w:rPr>
        <w:t xml:space="preserve">które </w:t>
      </w:r>
      <w:r>
        <w:rPr>
          <w:lang w:val="pl"/>
        </w:rPr>
        <w:t xml:space="preserve">powinny zostać ukończone do </w:t>
      </w:r>
      <w:r w:rsidRPr="002E58C6">
        <w:rPr>
          <w:kern w:val="0"/>
          <w:sz w:val="22"/>
          <w:szCs w:val="22"/>
          <w:lang w:val="pl"/>
        </w:rPr>
        <w:t>ostatniego kwartału 2023 r.</w:t>
      </w:r>
    </w:p>
    <w:p w14:paraId="22AB304B" w14:textId="75F2B1FA" w:rsidR="00D431DC" w:rsidRPr="00BF17FE" w:rsidRDefault="00060075" w:rsidP="00BF17FE">
      <w:pPr>
        <w:spacing w:after="160" w:line="256" w:lineRule="auto"/>
        <w:jc w:val="both"/>
        <w:rPr>
          <w:rFonts w:eastAsia="Calibri" w:cs="Calibri"/>
          <w:kern w:val="0"/>
          <w:sz w:val="22"/>
          <w:szCs w:val="22"/>
          <w:lang w:val="pl-PL" w:eastAsia="en-US"/>
        </w:rPr>
      </w:pPr>
      <w:r w:rsidRPr="002E58C6">
        <w:rPr>
          <w:kern w:val="0"/>
          <w:sz w:val="22"/>
          <w:szCs w:val="22"/>
          <w:lang w:val="pl"/>
        </w:rPr>
        <w:t>Nie tylko Komisja Europejska, ale także opinia publiczna jest coraz bardziej zainteresowana dobrostanem zwierząt. Europejscy rolnicy z zadowoleniem przyjmują duże zainteresowanie tą kwestią, ale jednocześnie są zaniepokojeni</w:t>
      </w:r>
      <w:r w:rsidR="00DA57AA">
        <w:rPr>
          <w:kern w:val="0"/>
          <w:sz w:val="22"/>
          <w:szCs w:val="22"/>
          <w:lang w:val="pl"/>
        </w:rPr>
        <w:t xml:space="preserve"> tym, jak rzeczywistość rolnicza jest czasami przedstawiana przez różne organizacje pozarządowe</w:t>
      </w:r>
      <w:r w:rsidR="00F85F6C" w:rsidRPr="002E58C6">
        <w:rPr>
          <w:kern w:val="0"/>
          <w:sz w:val="22"/>
          <w:szCs w:val="22"/>
          <w:lang w:val="pl"/>
        </w:rPr>
        <w:t xml:space="preserve">. Naszymi wysiłkami i pracą codziennie pokazujemy, że jesteśmy gotowi iść dalej i pracować nad podniesieniem standardów dobrostanu zwierząt w naszych gospodarstwach. Aby osiągnąć najlepsze możliwe wyniki, rolnicy muszą być zaangażowani w dyskusję na temat dobrostanu zwierząt. Należy przyznać, że wysoki dobrostan zwierząt można osiągnąć tylko wtedy, gdy spełnione są wszystkie aspekty zrównoważonego rozwoju – zrównoważenie środowiskowe, społeczne i gospodarcze. </w:t>
      </w:r>
    </w:p>
    <w:p w14:paraId="3CC318A9" w14:textId="70E859FB" w:rsidR="001B500F" w:rsidRPr="00BF17FE" w:rsidRDefault="00060075" w:rsidP="00BF17FE">
      <w:pPr>
        <w:spacing w:after="160" w:line="259" w:lineRule="auto"/>
        <w:jc w:val="both"/>
        <w:rPr>
          <w:rFonts w:eastAsia="Calibri" w:cs="Calibri"/>
          <w:kern w:val="0"/>
          <w:sz w:val="22"/>
          <w:szCs w:val="22"/>
          <w:lang w:val="pl-PL" w:eastAsia="en-US"/>
        </w:rPr>
      </w:pPr>
      <w:r w:rsidRPr="002E58C6">
        <w:rPr>
          <w:kern w:val="0"/>
          <w:sz w:val="22"/>
          <w:szCs w:val="22"/>
          <w:lang w:val="pl"/>
        </w:rPr>
        <w:t xml:space="preserve">Europejscy hodowcy drobiu należą do światowych liderów w dostarczaniu przystępnej cenowo i zrównoważonej żywności, przyczyniając się w ten sposób do wzrostu gospodarczego i tworząc miejsca pracy dla milionów Europejczyków. Europejscy rolnicy stoją jednak również przed wieloma wyzwaniami. Zróżnicowane prawodawstwo i brak praktycznych rozwiązań wywołałyby brak równowagi między inwestycjami w dobrostan zwierząt a wynikami gospodarczymi. Ponadto koszty często nie są rekompensowane przez rynek. </w:t>
      </w:r>
    </w:p>
    <w:p w14:paraId="62CE8F4A" w14:textId="122AC695" w:rsidR="00D431DC" w:rsidRPr="00BF17FE" w:rsidRDefault="00060075" w:rsidP="00BF17FE">
      <w:pPr>
        <w:spacing w:after="160" w:line="256" w:lineRule="auto"/>
        <w:jc w:val="both"/>
        <w:rPr>
          <w:rFonts w:eastAsia="Calibri" w:cs="Calibri"/>
          <w:kern w:val="0"/>
          <w:sz w:val="22"/>
          <w:szCs w:val="22"/>
          <w:lang w:val="pl-PL" w:eastAsia="en-US"/>
        </w:rPr>
      </w:pPr>
      <w:r w:rsidRPr="002E58C6">
        <w:rPr>
          <w:kern w:val="0"/>
          <w:sz w:val="22"/>
          <w:szCs w:val="22"/>
          <w:lang w:val="pl"/>
        </w:rPr>
        <w:t xml:space="preserve">Chociaż </w:t>
      </w:r>
      <w:r w:rsidR="00906554">
        <w:rPr>
          <w:kern w:val="0"/>
          <w:sz w:val="22"/>
          <w:szCs w:val="22"/>
          <w:lang w:val="pl"/>
        </w:rPr>
        <w:t xml:space="preserve"> </w:t>
      </w:r>
      <w:r>
        <w:rPr>
          <w:lang w:val="pl"/>
        </w:rPr>
        <w:t xml:space="preserve"> </w:t>
      </w:r>
      <w:r w:rsidRPr="002E58C6">
        <w:rPr>
          <w:kern w:val="0"/>
          <w:sz w:val="22"/>
          <w:szCs w:val="22"/>
          <w:lang w:val="pl"/>
        </w:rPr>
        <w:t>stale</w:t>
      </w:r>
      <w:r w:rsidR="00AE5053">
        <w:rPr>
          <w:kern w:val="0"/>
          <w:sz w:val="22"/>
          <w:szCs w:val="22"/>
          <w:lang w:val="pl"/>
        </w:rPr>
        <w:t xml:space="preserve"> </w:t>
      </w:r>
      <w:r w:rsidR="00906554">
        <w:rPr>
          <w:kern w:val="0"/>
          <w:sz w:val="22"/>
          <w:szCs w:val="22"/>
          <w:lang w:val="pl"/>
        </w:rPr>
        <w:t>śpiewamy</w:t>
      </w:r>
      <w:r>
        <w:rPr>
          <w:lang w:val="pl"/>
        </w:rPr>
        <w:t xml:space="preserve"> </w:t>
      </w:r>
      <w:r w:rsidRPr="002E58C6">
        <w:rPr>
          <w:kern w:val="0"/>
          <w:sz w:val="22"/>
          <w:szCs w:val="22"/>
          <w:lang w:val="pl"/>
        </w:rPr>
        <w:t xml:space="preserve"> o poziomie dobrostanu zwierząt w naszych </w:t>
      </w:r>
      <w:r w:rsidR="00AE5053">
        <w:rPr>
          <w:kern w:val="0"/>
          <w:sz w:val="22"/>
          <w:szCs w:val="22"/>
          <w:lang w:val="pl"/>
        </w:rPr>
        <w:t>kurnikach</w:t>
      </w:r>
      <w:r w:rsidRPr="002E58C6">
        <w:rPr>
          <w:kern w:val="0"/>
          <w:sz w:val="22"/>
          <w:szCs w:val="22"/>
          <w:lang w:val="pl"/>
        </w:rPr>
        <w:t>, rzadko zdarza się to w pozostałej części świata. Konkurujemy z producentami z 3</w:t>
      </w:r>
      <w:r>
        <w:rPr>
          <w:lang w:val="pl"/>
        </w:rPr>
        <w:t xml:space="preserve"> </w:t>
      </w:r>
      <w:r w:rsidRPr="002E58C6">
        <w:rPr>
          <w:kern w:val="0"/>
          <w:sz w:val="22"/>
          <w:szCs w:val="22"/>
          <w:lang w:val="pl"/>
        </w:rPr>
        <w:t xml:space="preserve"> krajów, gdzie w wielu przypadkach ustawodawstwo dotyczące dobrostanu jest dalekie od osiągnięcia standardów UE. Unijni rolnicy stoją w obliczu nieuczciwej konkurencji ze strony produktów pochodzących z państw trzecich. Luka ta mogłaby się </w:t>
      </w:r>
      <w:r>
        <w:rPr>
          <w:lang w:val="pl"/>
        </w:rPr>
        <w:t xml:space="preserve"> </w:t>
      </w:r>
      <w:r w:rsidR="001B500F">
        <w:rPr>
          <w:kern w:val="0"/>
          <w:sz w:val="22"/>
          <w:szCs w:val="22"/>
          <w:lang w:val="pl"/>
        </w:rPr>
        <w:t xml:space="preserve">jeszcze bardziej </w:t>
      </w:r>
      <w:r>
        <w:rPr>
          <w:lang w:val="pl"/>
        </w:rPr>
        <w:t xml:space="preserve"> </w:t>
      </w:r>
      <w:r w:rsidRPr="002E58C6">
        <w:rPr>
          <w:kern w:val="0"/>
          <w:sz w:val="22"/>
          <w:szCs w:val="22"/>
          <w:lang w:val="pl"/>
        </w:rPr>
        <w:t xml:space="preserve">pogłębić dzięki umowie między UE a </w:t>
      </w:r>
      <w:proofErr w:type="spellStart"/>
      <w:r w:rsidRPr="002E58C6">
        <w:rPr>
          <w:kern w:val="0"/>
          <w:sz w:val="22"/>
          <w:szCs w:val="22"/>
          <w:lang w:val="pl"/>
        </w:rPr>
        <w:t>Mercosurem</w:t>
      </w:r>
      <w:proofErr w:type="spellEnd"/>
      <w:r w:rsidRPr="002E58C6">
        <w:rPr>
          <w:kern w:val="0"/>
          <w:sz w:val="22"/>
          <w:szCs w:val="22"/>
          <w:lang w:val="pl"/>
        </w:rPr>
        <w:t>,</w:t>
      </w:r>
      <w:r w:rsidR="00AE5053">
        <w:rPr>
          <w:kern w:val="0"/>
          <w:sz w:val="22"/>
          <w:szCs w:val="22"/>
          <w:lang w:val="pl"/>
        </w:rPr>
        <w:t xml:space="preserve"> </w:t>
      </w:r>
      <w:r w:rsidR="001B500F">
        <w:rPr>
          <w:kern w:val="0"/>
          <w:sz w:val="22"/>
          <w:szCs w:val="22"/>
          <w:lang w:val="pl"/>
        </w:rPr>
        <w:t>która zakwestionowałaby nasze zaangażowanie w handel.</w:t>
      </w:r>
      <w:r w:rsidRPr="002E58C6">
        <w:rPr>
          <w:kern w:val="0"/>
          <w:sz w:val="22"/>
          <w:szCs w:val="22"/>
          <w:lang w:val="pl"/>
        </w:rPr>
        <w:t xml:space="preserve"> Przywóz z 3 krajów o niższych standardach dobrostanu zwierząt jest ograniczeniem etycznym </w:t>
      </w:r>
      <w:r>
        <w:rPr>
          <w:lang w:val="pl"/>
        </w:rPr>
        <w:t xml:space="preserve">i </w:t>
      </w:r>
      <w:r w:rsidRPr="002E58C6">
        <w:rPr>
          <w:kern w:val="0"/>
          <w:sz w:val="22"/>
          <w:szCs w:val="22"/>
          <w:lang w:val="pl"/>
        </w:rPr>
        <w:t>sanitarnym.</w:t>
      </w:r>
      <w:r>
        <w:rPr>
          <w:lang w:val="pl"/>
        </w:rPr>
        <w:t xml:space="preserve"> </w:t>
      </w:r>
      <w:r w:rsidR="001B500F">
        <w:rPr>
          <w:kern w:val="0"/>
          <w:sz w:val="22"/>
          <w:szCs w:val="22"/>
          <w:lang w:val="pl"/>
        </w:rPr>
        <w:t xml:space="preserve">  W</w:t>
      </w:r>
      <w:r w:rsidR="00AE5053">
        <w:rPr>
          <w:kern w:val="0"/>
          <w:sz w:val="22"/>
          <w:szCs w:val="22"/>
          <w:lang w:val="pl"/>
        </w:rPr>
        <w:t xml:space="preserve"> </w:t>
      </w:r>
      <w:r w:rsidRPr="002E58C6">
        <w:rPr>
          <w:kern w:val="0"/>
          <w:sz w:val="22"/>
          <w:szCs w:val="22"/>
          <w:lang w:val="pl"/>
        </w:rPr>
        <w:t>przypadku dalszego wzrostu standardów dobrostanu nasz rynek wewnętrzny musi być chroniony. Jednocześnie konsumenci muszą być świadomi wysokich wysiłków, z jak duże wysiłki unijni rolnicy dążą do uzyskania najwyższych standardów dobrostanu zwierząt na świecie. Aby wysiłki unijnych rolników były również opłacalne ekonomicznie, potrzebowalibyśmy głównie wsparcia ze strony rynku, koncentrującego się na odpowiedzialności i przejrzystości konsumentów, a także na wzmocnieniu</w:t>
      </w:r>
      <w:r w:rsidR="00963AE9" w:rsidRPr="002E58C6">
        <w:rPr>
          <w:kern w:val="0"/>
          <w:sz w:val="22"/>
          <w:szCs w:val="22"/>
          <w:lang w:val="pl"/>
        </w:rPr>
        <w:t xml:space="preserve"> łańcucha rolno-spożywczego.</w:t>
      </w:r>
      <w:r>
        <w:rPr>
          <w:lang w:val="pl"/>
        </w:rPr>
        <w:t xml:space="preserve">  </w:t>
      </w:r>
      <w:r w:rsidR="00D431DC">
        <w:rPr>
          <w:kern w:val="0"/>
          <w:sz w:val="22"/>
          <w:szCs w:val="22"/>
          <w:lang w:val="pl"/>
        </w:rPr>
        <w:t>Z drugiej strony instytucje muszą być również świadome, że ten wzrost obaw o dobrostan zwierząt i koszty, jakie pociąga to za sobą dla gospodarstw rolnych, sprawiają, że nasze produkty są mniej konkurencyjne na rynkach państw trzecich, gdzie świadomość w tym zakresie jest czasami niższa.</w:t>
      </w:r>
    </w:p>
    <w:p w14:paraId="7C964EE7" w14:textId="77777777" w:rsidR="00D431DC" w:rsidRPr="00BF17FE" w:rsidRDefault="00060075" w:rsidP="00BF17FE">
      <w:pPr>
        <w:spacing w:after="160" w:line="256" w:lineRule="auto"/>
        <w:jc w:val="both"/>
        <w:rPr>
          <w:rFonts w:eastAsia="Calibri" w:cs="Calibri"/>
          <w:kern w:val="0"/>
          <w:sz w:val="22"/>
          <w:szCs w:val="22"/>
          <w:lang w:val="pl-PL" w:eastAsia="en-US"/>
        </w:rPr>
      </w:pPr>
      <w:r w:rsidRPr="002E58C6">
        <w:rPr>
          <w:kern w:val="0"/>
          <w:sz w:val="22"/>
          <w:szCs w:val="22"/>
          <w:lang w:val="pl"/>
        </w:rPr>
        <w:t xml:space="preserve">Jako prawdziwi zwolennicy podejmowania decyzji w oparciu o naukę, uznajemy wartość ścisłej współpracy z uniwersytetami i ekspertami naukowymi, ale jednocześnie podkreślamy potrzebę większego nacisku na działania prowadzone przez rolników i działania w UE, ponieważ rolnicy są odpowiedzialni za realizację rozwiązań i codzienne dbanie o swoje zwierzęta gospodarskie. Należy również uznać, że sektor drobiarski nie jest obecnie subsydiowany i napędzany jest popytem konsumentów. </w:t>
      </w:r>
      <w:r w:rsidR="00D431DC">
        <w:rPr>
          <w:kern w:val="0"/>
          <w:sz w:val="22"/>
          <w:szCs w:val="22"/>
          <w:lang w:val="pl"/>
        </w:rPr>
        <w:t xml:space="preserve"> Jest ona zatem zależna wyłącznie od wartości rynkowej w celu pokrycia kosztów produkcji i utrzymania rentowności.</w:t>
      </w:r>
    </w:p>
    <w:p w14:paraId="3BB43903" w14:textId="77777777" w:rsidR="001B500F" w:rsidRPr="00BF17FE" w:rsidRDefault="001B500F" w:rsidP="00BF17FE">
      <w:pPr>
        <w:spacing w:after="160" w:line="259" w:lineRule="auto"/>
        <w:jc w:val="both"/>
        <w:rPr>
          <w:rFonts w:eastAsia="Calibri" w:cs="Calibri"/>
          <w:kern w:val="0"/>
          <w:sz w:val="22"/>
          <w:szCs w:val="22"/>
          <w:lang w:val="pl-PL" w:eastAsia="en-US"/>
        </w:rPr>
      </w:pPr>
      <w:r w:rsidRPr="002E58C6">
        <w:rPr>
          <w:kern w:val="0"/>
          <w:sz w:val="22"/>
          <w:szCs w:val="22"/>
          <w:lang w:val="pl"/>
        </w:rPr>
        <w:lastRenderedPageBreak/>
        <w:t xml:space="preserve">Rolnicy w całej UE bardzo starają się zapewnić swoim zwierzętom jak najlepsze warunki. Ze względu na różnice w popycie konsumpcyjnym, ale także różne warunki klimatyczne i wydarzenia historyczne, sytuacja może się różnić w zależności od kraju. Mogą istnieć różnice w problemach, z którymi zmagają się rolnicy, a także różne rozwiązania dla nich. Musimy szukać wspólnych rozwiązań, które będą korzystne dla rolników w całej Unii. Jednocześnie nie powinniśmy zapominać o istniejących różnicach i upewnić się, że nałożone środki nie zaszkodzą producentom w żadnym z krajów. </w:t>
      </w:r>
    </w:p>
    <w:p w14:paraId="26D2B499" w14:textId="4128BC62" w:rsidR="007D2A65" w:rsidRPr="00BF17FE" w:rsidRDefault="00060075" w:rsidP="00BF17FE">
      <w:pPr>
        <w:spacing w:after="160" w:line="259" w:lineRule="auto"/>
        <w:jc w:val="both"/>
        <w:rPr>
          <w:rFonts w:eastAsia="Calibri" w:cs="Calibri"/>
          <w:kern w:val="0"/>
          <w:sz w:val="22"/>
          <w:szCs w:val="22"/>
          <w:lang w:val="pl-PL" w:eastAsia="en-US"/>
        </w:rPr>
      </w:pPr>
      <w:r w:rsidRPr="002E58C6">
        <w:rPr>
          <w:kern w:val="0"/>
          <w:sz w:val="22"/>
          <w:szCs w:val="22"/>
          <w:lang w:val="pl"/>
        </w:rPr>
        <w:t>Pragniemy podkreślić, że naszym pierwszym i najwyższym celem jest dbanie o to, by zwierzęta były zdrowe i dobrze traktowane. Nawet jeśli konsumenci nie zawsze okazywali wsparcie w</w:t>
      </w:r>
      <w:r w:rsidR="00AE5053">
        <w:rPr>
          <w:kern w:val="0"/>
          <w:sz w:val="22"/>
          <w:szCs w:val="22"/>
          <w:lang w:val="pl"/>
        </w:rPr>
        <w:t xml:space="preserve"> </w:t>
      </w:r>
      <w:r w:rsidR="001B500F">
        <w:rPr>
          <w:kern w:val="0"/>
          <w:sz w:val="22"/>
          <w:szCs w:val="22"/>
          <w:lang w:val="pl"/>
        </w:rPr>
        <w:t>przeszłości,</w:t>
      </w:r>
      <w:r w:rsidR="00AE5053">
        <w:rPr>
          <w:kern w:val="0"/>
          <w:sz w:val="22"/>
          <w:szCs w:val="22"/>
          <w:lang w:val="pl"/>
        </w:rPr>
        <w:t xml:space="preserve"> </w:t>
      </w:r>
      <w:r>
        <w:rPr>
          <w:lang w:val="pl"/>
        </w:rPr>
        <w:t>są i zawsze byli przygotowani do</w:t>
      </w:r>
      <w:r w:rsidR="001B500F">
        <w:rPr>
          <w:kern w:val="0"/>
          <w:sz w:val="22"/>
          <w:szCs w:val="22"/>
          <w:lang w:val="pl"/>
        </w:rPr>
        <w:t xml:space="preserve"> dalszego podnoszenia</w:t>
      </w:r>
      <w:r>
        <w:rPr>
          <w:lang w:val="pl"/>
        </w:rPr>
        <w:t xml:space="preserve"> naszych standardów</w:t>
      </w:r>
      <w:r w:rsidR="00AE5053">
        <w:rPr>
          <w:lang w:val="pl"/>
        </w:rPr>
        <w:t xml:space="preserve"> </w:t>
      </w:r>
      <w:r w:rsidRPr="002E58C6">
        <w:rPr>
          <w:kern w:val="0"/>
          <w:sz w:val="22"/>
          <w:szCs w:val="22"/>
          <w:lang w:val="pl"/>
        </w:rPr>
        <w:t>zgodnie</w:t>
      </w:r>
      <w:r>
        <w:rPr>
          <w:lang w:val="pl"/>
        </w:rPr>
        <w:t xml:space="preserve"> z</w:t>
      </w:r>
      <w:r w:rsidRPr="002E58C6">
        <w:rPr>
          <w:kern w:val="0"/>
          <w:sz w:val="22"/>
          <w:szCs w:val="22"/>
          <w:lang w:val="pl"/>
        </w:rPr>
        <w:t xml:space="preserve"> zapotrzebowaniem rynku.</w:t>
      </w:r>
      <w:r>
        <w:rPr>
          <w:lang w:val="pl"/>
        </w:rPr>
        <w:t xml:space="preserve"> </w:t>
      </w:r>
      <w:r w:rsidR="001B500F" w:rsidRPr="002E58C6">
        <w:rPr>
          <w:kern w:val="0"/>
          <w:sz w:val="22"/>
          <w:szCs w:val="22"/>
          <w:lang w:val="pl"/>
        </w:rPr>
        <w:t>Podczas gdy podejmujemy te zdecydowane kroki, potrzebujemy, aby nasi decydenci umożliwili nam inwestowanie, zapewniając jednocześnie wystarczająco dużo czasu na przejście.</w:t>
      </w:r>
      <w:r>
        <w:rPr>
          <w:lang w:val="pl"/>
        </w:rPr>
        <w:t xml:space="preserve"> Należy </w:t>
      </w:r>
      <w:r w:rsidR="001B500F">
        <w:rPr>
          <w:kern w:val="0"/>
          <w:sz w:val="22"/>
          <w:szCs w:val="22"/>
          <w:lang w:val="pl"/>
        </w:rPr>
        <w:t>przyznać,</w:t>
      </w:r>
      <w:r>
        <w:rPr>
          <w:lang w:val="pl"/>
        </w:rPr>
        <w:t xml:space="preserve"> </w:t>
      </w:r>
      <w:r w:rsidRPr="002E58C6">
        <w:rPr>
          <w:kern w:val="0"/>
          <w:sz w:val="22"/>
          <w:szCs w:val="22"/>
          <w:lang w:val="pl"/>
        </w:rPr>
        <w:t xml:space="preserve">  że istnieją różnice między gatunkami i ich potrzebami, co również zostanie omówione w poniższym dokumencie.</w:t>
      </w:r>
      <w:bookmarkStart w:id="1" w:name="_Hlk78413179"/>
    </w:p>
    <w:p w14:paraId="3D4D92E1" w14:textId="7E0035C0" w:rsidR="004A6B7B" w:rsidRPr="00BF17FE" w:rsidRDefault="007D2A65" w:rsidP="00BF17FE">
      <w:pPr>
        <w:spacing w:after="160" w:line="259" w:lineRule="auto"/>
        <w:jc w:val="both"/>
        <w:rPr>
          <w:rFonts w:eastAsia="Calibri" w:cs="Calibri"/>
          <w:b/>
          <w:bCs/>
          <w:kern w:val="0"/>
          <w:sz w:val="22"/>
          <w:szCs w:val="22"/>
          <w:lang w:val="pl-PL" w:eastAsia="en-US"/>
        </w:rPr>
      </w:pPr>
      <w:r>
        <w:rPr>
          <w:kern w:val="0"/>
          <w:sz w:val="22"/>
          <w:szCs w:val="22"/>
          <w:lang w:val="pl"/>
        </w:rPr>
        <w:br w:type="page"/>
      </w:r>
      <w:r w:rsidR="00060075" w:rsidRPr="002E58C6">
        <w:rPr>
          <w:b/>
          <w:kern w:val="0"/>
          <w:sz w:val="22"/>
          <w:szCs w:val="22"/>
          <w:lang w:val="pl"/>
        </w:rPr>
        <w:lastRenderedPageBreak/>
        <w:t>Zasady ogólne</w:t>
      </w:r>
    </w:p>
    <w:p w14:paraId="11ECF3F3" w14:textId="77777777" w:rsidR="007D2A65" w:rsidRPr="00BF17FE" w:rsidRDefault="007D2A65" w:rsidP="00BF17FE">
      <w:pPr>
        <w:jc w:val="both"/>
        <w:rPr>
          <w:rFonts w:ascii="Calibri" w:eastAsia="Calibri" w:hAnsi="Calibri" w:cs="Calibri"/>
          <w:kern w:val="0"/>
          <w:sz w:val="22"/>
          <w:szCs w:val="22"/>
          <w:lang w:val="pl-PL"/>
        </w:rPr>
      </w:pPr>
      <w:r w:rsidRPr="007D2A65">
        <w:rPr>
          <w:lang w:val="pl"/>
        </w:rPr>
        <w:t>Nasze ogólne zasady dotyczące "Końca epoki klatki" zostały już uzgodnione w drodze pisemnej konsultacji po ostatnim WP. Chociaż uważamy, że podejście rynkowe uzupełnione danymi i podejściami naukowymi i technicznymi jest najlepszą drogą naprzód, biorąc pod uwagę obecny rozwój polityki, wzywamy instytucje europejskie do uwzględnienia następujących kwestii:</w:t>
      </w:r>
    </w:p>
    <w:p w14:paraId="265DD571" w14:textId="77777777" w:rsidR="007D2A65" w:rsidRPr="00BF17FE" w:rsidRDefault="007D2A65" w:rsidP="00BF17FE">
      <w:pPr>
        <w:spacing w:after="160" w:line="259" w:lineRule="auto"/>
        <w:jc w:val="both"/>
        <w:rPr>
          <w:rFonts w:eastAsia="Calibri" w:cs="Calibri"/>
          <w:kern w:val="0"/>
          <w:sz w:val="22"/>
          <w:szCs w:val="22"/>
          <w:lang w:val="pl-PL" w:eastAsia="en-US"/>
        </w:rPr>
      </w:pPr>
    </w:p>
    <w:p w14:paraId="07381E48" w14:textId="77777777" w:rsidR="007D2A65" w:rsidRPr="00BF17FE" w:rsidRDefault="007D2A65" w:rsidP="00BF17FE">
      <w:pPr>
        <w:numPr>
          <w:ilvl w:val="0"/>
          <w:numId w:val="15"/>
        </w:numPr>
        <w:spacing w:after="80" w:line="240" w:lineRule="auto"/>
        <w:jc w:val="both"/>
        <w:rPr>
          <w:rFonts w:ascii="Calibri" w:eastAsia="Calibri" w:hAnsi="Calibri" w:cs="Calibri"/>
          <w:kern w:val="0"/>
          <w:sz w:val="22"/>
          <w:szCs w:val="22"/>
          <w:lang w:val="pl-PL"/>
        </w:rPr>
      </w:pPr>
      <w:r w:rsidRPr="007D2A65">
        <w:rPr>
          <w:lang w:val="pl"/>
        </w:rPr>
        <w:t>Biorąc pod uwagę złożoność i zróżnicowane potrzeby każdego sektora, nie możemy poprzeć wprowadzenia daty stopniowego wycofywania wszelkiego rodzaju klatek. Zobowiązanie do określonej daty musi zostać ustalone po niezbędnej ocenie skutków i uwzględnieniu wpływu handlu międzynarodowego. Przed ustaleniem daty konieczne jest posiadanie jasnych ram technicznych, technologicznych i prawnych;</w:t>
      </w:r>
    </w:p>
    <w:p w14:paraId="5A603009" w14:textId="1327A8E6" w:rsidR="00960033" w:rsidRPr="00BF17FE" w:rsidRDefault="00060075" w:rsidP="00BF17FE">
      <w:pPr>
        <w:pStyle w:val="Akapitzlist"/>
        <w:numPr>
          <w:ilvl w:val="0"/>
          <w:numId w:val="15"/>
        </w:numPr>
        <w:spacing w:after="120" w:line="240" w:lineRule="auto"/>
        <w:contextualSpacing/>
        <w:jc w:val="both"/>
        <w:rPr>
          <w:rFonts w:cs="Calibri"/>
          <w:sz w:val="22"/>
          <w:szCs w:val="22"/>
          <w:lang w:val="pl-PL"/>
        </w:rPr>
      </w:pPr>
      <w:r w:rsidRPr="002E58C6">
        <w:rPr>
          <w:sz w:val="22"/>
          <w:szCs w:val="22"/>
          <w:lang w:val="pl"/>
        </w:rPr>
        <w:t>Uznanie orientacji rynkowej dotkniętych sektorów i w związku z tym przeprowadzenie oceny skutków gospodarczych, środowiskowych i społecznych;</w:t>
      </w:r>
    </w:p>
    <w:p w14:paraId="7010A791" w14:textId="413156CB" w:rsidR="005848E3" w:rsidRPr="00BF17FE" w:rsidRDefault="00060075" w:rsidP="00BF17FE">
      <w:pPr>
        <w:pStyle w:val="Akapitzlist"/>
        <w:numPr>
          <w:ilvl w:val="0"/>
          <w:numId w:val="15"/>
        </w:numPr>
        <w:spacing w:after="120" w:line="240" w:lineRule="auto"/>
        <w:contextualSpacing/>
        <w:jc w:val="both"/>
        <w:rPr>
          <w:rFonts w:cs="Calibri"/>
          <w:sz w:val="22"/>
          <w:szCs w:val="22"/>
          <w:lang w:val="pl-PL"/>
        </w:rPr>
      </w:pPr>
      <w:r w:rsidRPr="00953F6E">
        <w:rPr>
          <w:sz w:val="22"/>
          <w:szCs w:val="22"/>
          <w:lang w:val="pl"/>
        </w:rPr>
        <w:t xml:space="preserve">Należy uznać warte miliardy euro inwestycje, które zostały już dokonane przez europejskich producentów drobiu i jaj w celu zwiększenia dobrostanu zwierząt i nie zostały jeszcze w pełni spłacone. Wpłynie to na zdolność do konwersji, dlatego rolnicy muszą uzyskać dodatkowe wsparcie finansowe, które wykracza poza istniejące środki i pomoże im inwestować. </w:t>
      </w:r>
    </w:p>
    <w:p w14:paraId="52F24428" w14:textId="77777777" w:rsidR="00960033" w:rsidRPr="00BF17FE" w:rsidRDefault="00060075" w:rsidP="00BF17FE">
      <w:pPr>
        <w:pStyle w:val="Akapitzlist"/>
        <w:numPr>
          <w:ilvl w:val="0"/>
          <w:numId w:val="15"/>
        </w:numPr>
        <w:spacing w:after="120" w:line="240" w:lineRule="auto"/>
        <w:contextualSpacing/>
        <w:jc w:val="both"/>
        <w:rPr>
          <w:rFonts w:cs="Calibri"/>
          <w:sz w:val="22"/>
          <w:szCs w:val="22"/>
          <w:lang w:val="pl-PL"/>
        </w:rPr>
      </w:pPr>
      <w:r w:rsidRPr="002E58C6">
        <w:rPr>
          <w:sz w:val="22"/>
          <w:szCs w:val="22"/>
          <w:lang w:val="pl"/>
        </w:rPr>
        <w:t>Rozważenie potrzeb różnych sektorów produkcji i gatunków, w oparciu o dowody naukowe i agronomiczne, przy jednoczesnym utrzymaniu potencjału produkcyjnego w UE. Wszystkim rolnikom i systemom produkcji należy dać szansę inwestowania w zrównoważony rozwój i dobrostan zwierząt, a jednocześnie zapewnić, że ich produkcja pozostanie ekonomicznie i technicznie wykonalna;</w:t>
      </w:r>
    </w:p>
    <w:p w14:paraId="332D81BB" w14:textId="52CFD2BE" w:rsidR="00960033" w:rsidRDefault="00060075" w:rsidP="00BF17FE">
      <w:pPr>
        <w:pStyle w:val="Akapitzlist"/>
        <w:numPr>
          <w:ilvl w:val="0"/>
          <w:numId w:val="15"/>
        </w:numPr>
        <w:spacing w:after="120" w:line="240" w:lineRule="auto"/>
        <w:contextualSpacing/>
        <w:jc w:val="both"/>
        <w:rPr>
          <w:rFonts w:cs="Calibri"/>
          <w:sz w:val="22"/>
          <w:szCs w:val="22"/>
          <w:lang w:val="en-GB"/>
        </w:rPr>
      </w:pPr>
      <w:r w:rsidRPr="002E58C6">
        <w:rPr>
          <w:sz w:val="22"/>
          <w:szCs w:val="22"/>
          <w:lang w:val="pl"/>
        </w:rPr>
        <w:t>Zapewnienie spójności między politykami UE, w szczególności Zielonym Ładem, WPR i polityką handlową. Zezwolenie na przywóz produktów z państw trzecich, które nie mają takich samych ambicji w zakresie</w:t>
      </w:r>
      <w:r w:rsidR="00AE5053">
        <w:rPr>
          <w:sz w:val="22"/>
          <w:szCs w:val="22"/>
          <w:lang w:val="pl"/>
        </w:rPr>
        <w:t xml:space="preserve"> </w:t>
      </w:r>
      <w:r w:rsidR="005848E3">
        <w:rPr>
          <w:sz w:val="22"/>
          <w:szCs w:val="22"/>
          <w:lang w:val="pl"/>
        </w:rPr>
        <w:t>ekologii,</w:t>
      </w:r>
      <w:r>
        <w:rPr>
          <w:lang w:val="pl"/>
        </w:rPr>
        <w:t xml:space="preserve"> </w:t>
      </w:r>
      <w:r w:rsidR="005848E3">
        <w:rPr>
          <w:sz w:val="22"/>
          <w:szCs w:val="22"/>
          <w:lang w:val="pl"/>
        </w:rPr>
        <w:t xml:space="preserve">zdrowia i </w:t>
      </w:r>
      <w:r>
        <w:rPr>
          <w:lang w:val="pl"/>
        </w:rPr>
        <w:t>dobrostanu</w:t>
      </w:r>
      <w:r w:rsidRPr="002E58C6">
        <w:rPr>
          <w:sz w:val="22"/>
          <w:szCs w:val="22"/>
          <w:lang w:val="pl"/>
        </w:rPr>
        <w:t xml:space="preserve"> zwierząt </w:t>
      </w:r>
      <w:r>
        <w:rPr>
          <w:lang w:val="pl"/>
        </w:rPr>
        <w:t xml:space="preserve"> </w:t>
      </w:r>
      <w:r w:rsidRPr="002E58C6">
        <w:rPr>
          <w:sz w:val="22"/>
          <w:szCs w:val="22"/>
          <w:lang w:val="pl"/>
        </w:rPr>
        <w:t xml:space="preserve">jak UE, podważy pracę i zdolność do inwestowania w wyższe standardy dla naszych rolników, a jednocześnie podważy podstawy naszych zobowiązań na rzecz sprawiedliwego i zrównoważonego scenariusza handlowego. Unijni hodowcy drobiu apelują również o przejrzysty handel, aby uniknąć ryzyka przeniesienia produkcji zwierzęcej i przeniesienia podstawowych kwestii związanych ze zdrowiem i dobrostanem zwierząt do państw trzecich (np. </w:t>
      </w:r>
      <w:proofErr w:type="spellStart"/>
      <w:r w:rsidRPr="002E58C6">
        <w:rPr>
          <w:sz w:val="22"/>
          <w:szCs w:val="22"/>
          <w:lang w:val="pl"/>
        </w:rPr>
        <w:t>Mercosuru</w:t>
      </w:r>
      <w:proofErr w:type="spellEnd"/>
      <w:r w:rsidRPr="002E58C6">
        <w:rPr>
          <w:sz w:val="22"/>
          <w:szCs w:val="22"/>
          <w:lang w:val="pl"/>
        </w:rPr>
        <w:t xml:space="preserve">, Ukrainy itp.); </w:t>
      </w:r>
    </w:p>
    <w:p w14:paraId="46E34400" w14:textId="174675F0" w:rsidR="00953F6E" w:rsidRPr="00BF17FE" w:rsidRDefault="00953F6E" w:rsidP="00BF17FE">
      <w:pPr>
        <w:pStyle w:val="Akapitzlist"/>
        <w:numPr>
          <w:ilvl w:val="0"/>
          <w:numId w:val="15"/>
        </w:numPr>
        <w:spacing w:after="120" w:line="240" w:lineRule="auto"/>
        <w:contextualSpacing/>
        <w:jc w:val="both"/>
        <w:rPr>
          <w:rFonts w:cs="Calibri"/>
          <w:sz w:val="22"/>
          <w:szCs w:val="22"/>
          <w:lang w:val="pl-PL"/>
        </w:rPr>
      </w:pPr>
      <w:r>
        <w:rPr>
          <w:sz w:val="22"/>
          <w:szCs w:val="22"/>
          <w:lang w:val="pl"/>
        </w:rPr>
        <w:t xml:space="preserve">Uznać, </w:t>
      </w:r>
      <w:r>
        <w:rPr>
          <w:kern w:val="0"/>
          <w:sz w:val="22"/>
          <w:szCs w:val="22"/>
          <w:lang w:val="pl"/>
        </w:rPr>
        <w:t>że każdy wzrost obaw o dobrostan zwierząt w następstwie wzrostu kosztów produkcji sprawia, że nasze produkty i sektor są mniej konkurencyjne na rynkach państw trzecich, na których świadomość w tym zakresie jest niższa;</w:t>
      </w:r>
    </w:p>
    <w:p w14:paraId="73D6BC8C" w14:textId="77777777" w:rsidR="00960033" w:rsidRPr="00BF17FE" w:rsidRDefault="00060075" w:rsidP="00BF17FE">
      <w:pPr>
        <w:pStyle w:val="Akapitzlist"/>
        <w:numPr>
          <w:ilvl w:val="0"/>
          <w:numId w:val="15"/>
        </w:numPr>
        <w:spacing w:after="120" w:line="240" w:lineRule="auto"/>
        <w:contextualSpacing/>
        <w:jc w:val="both"/>
        <w:rPr>
          <w:rFonts w:cs="Calibri"/>
          <w:sz w:val="22"/>
          <w:szCs w:val="22"/>
          <w:lang w:val="pl-PL"/>
        </w:rPr>
      </w:pPr>
      <w:r w:rsidRPr="002E58C6">
        <w:rPr>
          <w:sz w:val="22"/>
          <w:szCs w:val="22"/>
          <w:lang w:val="pl"/>
        </w:rPr>
        <w:t xml:space="preserve">Uświadomienie konsumentom o wysokich wysiłkach, które europejska społeczność rolnicza już podejmuje, aby stale inwestować w najwyższe standardy dobrostanu zwierząt na świecie za pośrednictwem funduszu promocyjnego UE i dostarczać konsumentom informacji (pochodzenie etykietowania drobiu i jaj na wszystkich poziomach, w tym produktów przetworzonych i sektora </w:t>
      </w:r>
      <w:proofErr w:type="spellStart"/>
      <w:r w:rsidRPr="002E58C6">
        <w:rPr>
          <w:sz w:val="22"/>
          <w:szCs w:val="22"/>
          <w:lang w:val="pl"/>
        </w:rPr>
        <w:t>HoReCa</w:t>
      </w:r>
      <w:proofErr w:type="spellEnd"/>
      <w:r w:rsidRPr="002E58C6">
        <w:rPr>
          <w:sz w:val="22"/>
          <w:szCs w:val="22"/>
          <w:lang w:val="pl"/>
        </w:rPr>
        <w:t>);</w:t>
      </w:r>
    </w:p>
    <w:p w14:paraId="100C29FE" w14:textId="77777777" w:rsidR="00960033" w:rsidRPr="00BF17FE" w:rsidRDefault="00060075" w:rsidP="00BF17FE">
      <w:pPr>
        <w:pStyle w:val="Akapitzlist"/>
        <w:numPr>
          <w:ilvl w:val="0"/>
          <w:numId w:val="15"/>
        </w:numPr>
        <w:spacing w:after="120" w:line="240" w:lineRule="auto"/>
        <w:contextualSpacing/>
        <w:jc w:val="both"/>
        <w:rPr>
          <w:rFonts w:cs="Calibri"/>
          <w:sz w:val="22"/>
          <w:szCs w:val="22"/>
          <w:lang w:val="pl-PL"/>
        </w:rPr>
      </w:pPr>
      <w:r w:rsidRPr="002E58C6">
        <w:rPr>
          <w:sz w:val="22"/>
          <w:szCs w:val="22"/>
          <w:lang w:val="pl"/>
        </w:rPr>
        <w:t>Uznanie różnic w popycie konsumentów, ale także między warunkami klimatycznymi a wydarzeniami historycznymi w różnych państwach członkowskich;</w:t>
      </w:r>
    </w:p>
    <w:p w14:paraId="3DB3B4BD" w14:textId="77777777" w:rsidR="00960033" w:rsidRPr="00BF17FE" w:rsidRDefault="00060075" w:rsidP="00BF17FE">
      <w:pPr>
        <w:pStyle w:val="Akapitzlist"/>
        <w:numPr>
          <w:ilvl w:val="0"/>
          <w:numId w:val="16"/>
        </w:numPr>
        <w:spacing w:after="120" w:line="240" w:lineRule="auto"/>
        <w:contextualSpacing/>
        <w:jc w:val="both"/>
        <w:rPr>
          <w:rFonts w:cs="Calibri"/>
          <w:sz w:val="22"/>
          <w:szCs w:val="22"/>
          <w:lang w:val="pl-PL"/>
        </w:rPr>
      </w:pPr>
      <w:r w:rsidRPr="002E58C6">
        <w:rPr>
          <w:sz w:val="22"/>
          <w:szCs w:val="22"/>
          <w:lang w:val="pl"/>
        </w:rPr>
        <w:t>Zapewnienie koordynacji ze strony Komisji z władzami krajowymi/regionalnymi (np. w zakresie pozwoleń na odbudowę), a także wystarczającej dostępności materiałów i sprzętu dla rolników;</w:t>
      </w:r>
    </w:p>
    <w:p w14:paraId="32298ABB" w14:textId="1F5230A6" w:rsidR="00960033" w:rsidRPr="00BF17FE" w:rsidRDefault="00060075" w:rsidP="00BF17FE">
      <w:pPr>
        <w:pStyle w:val="Akapitzlist"/>
        <w:numPr>
          <w:ilvl w:val="0"/>
          <w:numId w:val="16"/>
        </w:numPr>
        <w:spacing w:after="120" w:line="240" w:lineRule="auto"/>
        <w:contextualSpacing/>
        <w:jc w:val="both"/>
        <w:rPr>
          <w:rFonts w:cs="Calibri"/>
          <w:b/>
          <w:bCs/>
          <w:sz w:val="22"/>
          <w:szCs w:val="22"/>
          <w:lang w:val="pl-PL"/>
        </w:rPr>
      </w:pPr>
      <w:r w:rsidRPr="002E58C6">
        <w:rPr>
          <w:sz w:val="22"/>
          <w:szCs w:val="22"/>
          <w:lang w:val="pl"/>
        </w:rPr>
        <w:t>Zapewnienie rolnikom niezbędnych narzędzi prawnych i mechanizmów prawnych w celu zabezpieczenia ich produkcji oraz w przypadku ognisk choroby (np. ptasiej grypy)</w:t>
      </w:r>
      <w:r w:rsidR="005848E3">
        <w:rPr>
          <w:sz w:val="22"/>
          <w:szCs w:val="22"/>
          <w:lang w:val="pl"/>
        </w:rPr>
        <w:t>.</w:t>
      </w:r>
      <w:r>
        <w:rPr>
          <w:lang w:val="pl"/>
        </w:rPr>
        <w:t xml:space="preserve"> </w:t>
      </w:r>
      <w:r w:rsidR="005848E3">
        <w:rPr>
          <w:kern w:val="0"/>
          <w:sz w:val="22"/>
          <w:szCs w:val="22"/>
          <w:lang w:val="pl"/>
        </w:rPr>
        <w:t>Jednocześnie</w:t>
      </w:r>
      <w:r>
        <w:rPr>
          <w:lang w:val="pl"/>
        </w:rPr>
        <w:t xml:space="preserve"> </w:t>
      </w:r>
      <w:r w:rsidR="005848E3" w:rsidRPr="002E58C6">
        <w:rPr>
          <w:kern w:val="0"/>
          <w:sz w:val="22"/>
          <w:szCs w:val="22"/>
          <w:lang w:val="pl"/>
        </w:rPr>
        <w:t xml:space="preserve"> wszelkie środki związane ze zdrowiem zwierząt lub bezpieczeństwem żywności </w:t>
      </w:r>
      <w:r>
        <w:rPr>
          <w:lang w:val="pl"/>
        </w:rPr>
        <w:t>muszą mieć zastosowanie w</w:t>
      </w:r>
      <w:r w:rsidR="005848E3" w:rsidRPr="002E58C6">
        <w:rPr>
          <w:kern w:val="0"/>
          <w:sz w:val="22"/>
          <w:szCs w:val="22"/>
          <w:lang w:val="pl"/>
        </w:rPr>
        <w:t xml:space="preserve"> zakresie niezbędnym do ochrony życia lub zdrowia ludzi lub zwierząt i nie mogą być utrzymywane bez wystarczających dowodów naukowych</w:t>
      </w:r>
      <w:r w:rsidR="005848E3">
        <w:rPr>
          <w:kern w:val="0"/>
          <w:sz w:val="22"/>
          <w:szCs w:val="22"/>
          <w:lang w:val="pl"/>
        </w:rPr>
        <w:t>.</w:t>
      </w:r>
      <w:r>
        <w:rPr>
          <w:lang w:val="pl"/>
        </w:rPr>
        <w:t xml:space="preserve"> </w:t>
      </w:r>
    </w:p>
    <w:p w14:paraId="5AEA6CDC" w14:textId="2413325C" w:rsidR="005848E3" w:rsidRPr="00BF17FE" w:rsidRDefault="005848E3" w:rsidP="00BF17FE">
      <w:pPr>
        <w:pStyle w:val="Akapitzlist"/>
        <w:numPr>
          <w:ilvl w:val="0"/>
          <w:numId w:val="16"/>
        </w:numPr>
        <w:spacing w:after="120" w:line="240" w:lineRule="auto"/>
        <w:contextualSpacing/>
        <w:jc w:val="both"/>
        <w:rPr>
          <w:rFonts w:cs="Calibri"/>
          <w:b/>
          <w:bCs/>
          <w:sz w:val="22"/>
          <w:szCs w:val="22"/>
          <w:lang w:val="pl-PL"/>
        </w:rPr>
      </w:pPr>
      <w:r>
        <w:rPr>
          <w:sz w:val="22"/>
          <w:szCs w:val="22"/>
          <w:lang w:val="pl"/>
        </w:rPr>
        <w:t>Zapewnienie rolnikom stabilności w sektorze i pomoc w planowaniu długoterminowym.</w:t>
      </w:r>
    </w:p>
    <w:p w14:paraId="24FAC396" w14:textId="77777777" w:rsidR="00953F6E" w:rsidRPr="00BF17FE" w:rsidRDefault="00953F6E" w:rsidP="00BF17FE">
      <w:pPr>
        <w:spacing w:after="160" w:line="259" w:lineRule="auto"/>
        <w:jc w:val="both"/>
        <w:rPr>
          <w:rFonts w:eastAsia="Calibri" w:cs="Calibri"/>
          <w:b/>
          <w:bCs/>
          <w:kern w:val="0"/>
          <w:sz w:val="22"/>
          <w:szCs w:val="22"/>
          <w:u w:val="single"/>
          <w:lang w:val="pl-PL" w:eastAsia="en-US"/>
        </w:rPr>
      </w:pPr>
      <w:bookmarkStart w:id="2" w:name="_Hlk78413193"/>
      <w:bookmarkEnd w:id="1"/>
    </w:p>
    <w:p w14:paraId="7EBBFA20" w14:textId="4A1F11CD" w:rsidR="004A6B7B" w:rsidRPr="002E58C6" w:rsidRDefault="00060075" w:rsidP="00BF17FE">
      <w:pPr>
        <w:spacing w:after="160" w:line="259" w:lineRule="auto"/>
        <w:jc w:val="both"/>
        <w:rPr>
          <w:rFonts w:eastAsia="Calibri" w:cs="Calibri"/>
          <w:b/>
          <w:bCs/>
          <w:kern w:val="0"/>
          <w:sz w:val="22"/>
          <w:szCs w:val="22"/>
          <w:u w:val="single"/>
          <w:lang w:val="en-GB" w:eastAsia="en-US"/>
        </w:rPr>
      </w:pPr>
      <w:r w:rsidRPr="002E58C6">
        <w:rPr>
          <w:b/>
          <w:kern w:val="0"/>
          <w:sz w:val="22"/>
          <w:szCs w:val="22"/>
          <w:u w:val="single"/>
          <w:lang w:val="pl"/>
        </w:rPr>
        <w:t>Kur niosek</w:t>
      </w:r>
    </w:p>
    <w:bookmarkEnd w:id="2"/>
    <w:p w14:paraId="0C77A7CC" w14:textId="5513B41E" w:rsidR="00955FFF" w:rsidRPr="00BF17FE" w:rsidRDefault="00060075" w:rsidP="00BF17FE">
      <w:pPr>
        <w:spacing w:after="160" w:line="259" w:lineRule="auto"/>
        <w:jc w:val="both"/>
        <w:rPr>
          <w:rFonts w:eastAsia="Calibri" w:cs="Calibri"/>
          <w:kern w:val="0"/>
          <w:sz w:val="22"/>
          <w:szCs w:val="22"/>
          <w:lang w:val="pl-PL" w:eastAsia="en-US"/>
        </w:rPr>
      </w:pPr>
      <w:r w:rsidRPr="002E58C6">
        <w:rPr>
          <w:kern w:val="0"/>
          <w:sz w:val="22"/>
          <w:szCs w:val="22"/>
          <w:lang w:val="pl"/>
        </w:rPr>
        <w:t xml:space="preserve">W 1999 r. UE przyjęła przepisy dotyczące ochrony kur niosek (dyrektywa Rady 1999/74/WE). </w:t>
      </w:r>
      <w:r w:rsidR="00953F6E">
        <w:rPr>
          <w:kern w:val="0"/>
          <w:sz w:val="22"/>
          <w:szCs w:val="22"/>
          <w:lang w:val="pl"/>
        </w:rPr>
        <w:t>Nowo</w:t>
      </w:r>
      <w:r>
        <w:rPr>
          <w:lang w:val="pl"/>
        </w:rPr>
        <w:t xml:space="preserve"> </w:t>
      </w:r>
      <w:r w:rsidR="00953F6E" w:rsidRPr="002E58C6">
        <w:rPr>
          <w:kern w:val="0"/>
          <w:sz w:val="22"/>
          <w:szCs w:val="22"/>
          <w:lang w:val="pl"/>
        </w:rPr>
        <w:t xml:space="preserve"> wprowadzone europejskie klatki wzbogacone zostały opracowane we współpracy rolników, lekarzy weterynarii, naukowców i organizacji pozarządowych. Dyrektywa Rady ustanawiała 13-letni okres przejściowy na stopniowe wycofywanie konwencjonalnych klatek bateryjnej. 13 lat może brzmieć jak długi okres, ale </w:t>
      </w:r>
      <w:r>
        <w:rPr>
          <w:lang w:val="pl"/>
        </w:rPr>
        <w:t xml:space="preserve"> </w:t>
      </w:r>
      <w:r w:rsidR="005C32B9">
        <w:rPr>
          <w:kern w:val="0"/>
          <w:sz w:val="22"/>
          <w:szCs w:val="22"/>
          <w:lang w:val="pl"/>
        </w:rPr>
        <w:t>trzeba wziąć</w:t>
      </w:r>
      <w:r>
        <w:rPr>
          <w:lang w:val="pl"/>
        </w:rPr>
        <w:t xml:space="preserve"> pod</w:t>
      </w:r>
      <w:r w:rsidRPr="002E58C6">
        <w:rPr>
          <w:kern w:val="0"/>
          <w:sz w:val="22"/>
          <w:szCs w:val="22"/>
          <w:lang w:val="pl"/>
        </w:rPr>
        <w:t xml:space="preserve"> uwagę, że ze względu na problemy np. z pozwoleniami na budowę i dostępnością sprzętu, wielu rolników było w mieszkaniach dla ptaków w 2011 r., A nawet w latach później. Wielu rolników wzięło kredyty na swoje inwestycje i nadal za nie płaci. </w:t>
      </w:r>
    </w:p>
    <w:p w14:paraId="52BAC64B" w14:textId="09D4A662" w:rsidR="00953F6E" w:rsidRPr="00BF17FE" w:rsidRDefault="00060075" w:rsidP="00BF17FE">
      <w:pPr>
        <w:spacing w:after="160" w:line="259" w:lineRule="auto"/>
        <w:jc w:val="both"/>
        <w:rPr>
          <w:rFonts w:eastAsia="Calibri" w:cs="Calibri"/>
          <w:kern w:val="0"/>
          <w:sz w:val="22"/>
          <w:szCs w:val="22"/>
          <w:lang w:val="pl-PL" w:eastAsia="en-US"/>
        </w:rPr>
      </w:pPr>
      <w:r w:rsidRPr="002E58C6">
        <w:rPr>
          <w:kern w:val="0"/>
          <w:sz w:val="22"/>
          <w:szCs w:val="22"/>
          <w:lang w:val="pl"/>
        </w:rPr>
        <w:t>Jaja i klatki dla kur niosek były coraz częściej omawiane w ostatnich latach. Według</w:t>
      </w:r>
      <w:r w:rsidR="00AE5053">
        <w:rPr>
          <w:kern w:val="0"/>
          <w:sz w:val="22"/>
          <w:szCs w:val="22"/>
          <w:lang w:val="pl"/>
        </w:rPr>
        <w:t xml:space="preserve"> </w:t>
      </w:r>
      <w:r w:rsidR="00953F6E">
        <w:rPr>
          <w:kern w:val="0"/>
          <w:sz w:val="22"/>
          <w:szCs w:val="22"/>
          <w:lang w:val="pl"/>
        </w:rPr>
        <w:t>Komisji</w:t>
      </w:r>
      <w:r>
        <w:rPr>
          <w:lang w:val="pl"/>
        </w:rPr>
        <w:t xml:space="preserve"> Europejskiej</w:t>
      </w:r>
      <w:r w:rsidRPr="002E58C6">
        <w:rPr>
          <w:kern w:val="0"/>
          <w:sz w:val="22"/>
          <w:szCs w:val="22"/>
          <w:lang w:val="pl"/>
        </w:rPr>
        <w:t xml:space="preserve"> w 2019 r. po raz pierwszy więcej kur niosek trzymano w systemach alternatywnych (52,2 proc.) niż w klatkach (47,8 proc.). W latach 2016–2020 odsetek kur niosek trzymanych w klatkach w porównaniu z alternatywnymi systemami odczuwalny był na poziomie 8%. Chociaż wielu rolników dokonało dużych zmian w 2012 r., Nadal próbują zmienić alternatywne systemy mieszkaniowe. </w:t>
      </w:r>
      <w:r w:rsidRPr="002E58C6">
        <w:rPr>
          <w:kern w:val="0"/>
          <w:sz w:val="22"/>
          <w:szCs w:val="22"/>
          <w:vertAlign w:val="superscript"/>
          <w:lang w:val="pl"/>
        </w:rPr>
        <w:footnoteReference w:id="1"/>
      </w:r>
      <w:r w:rsidRPr="002E58C6">
        <w:rPr>
          <w:kern w:val="0"/>
          <w:sz w:val="22"/>
          <w:szCs w:val="22"/>
          <w:vertAlign w:val="superscript"/>
          <w:lang w:val="pl"/>
        </w:rPr>
        <w:footnoteReference w:id="2"/>
      </w:r>
    </w:p>
    <w:p w14:paraId="656CEE7C" w14:textId="3DFFAB88" w:rsidR="00955FFF" w:rsidRPr="00BF17FE" w:rsidRDefault="00060075" w:rsidP="00BF17FE">
      <w:pPr>
        <w:spacing w:after="160" w:line="259" w:lineRule="auto"/>
        <w:jc w:val="both"/>
        <w:rPr>
          <w:rFonts w:eastAsia="Calibri" w:cs="Calibri"/>
          <w:kern w:val="0"/>
          <w:sz w:val="22"/>
          <w:szCs w:val="22"/>
          <w:lang w:val="pl-PL" w:eastAsia="en-US"/>
        </w:rPr>
      </w:pPr>
      <w:r w:rsidRPr="002E58C6">
        <w:rPr>
          <w:kern w:val="0"/>
          <w:sz w:val="22"/>
          <w:szCs w:val="22"/>
          <w:lang w:val="pl"/>
        </w:rPr>
        <w:t xml:space="preserve">Zwłaszcza w niektórych państwach członkowskich rolnicy nadal odczuwają bardzo duże zapotrzebowanie na jaja z chowu klatkowego. Zastąpienie </w:t>
      </w:r>
      <w:r w:rsidR="005C32B9">
        <w:rPr>
          <w:kern w:val="0"/>
          <w:sz w:val="22"/>
          <w:szCs w:val="22"/>
          <w:lang w:val="pl"/>
        </w:rPr>
        <w:t xml:space="preserve">ulepszonych klatek, które nadal </w:t>
      </w:r>
      <w:r>
        <w:rPr>
          <w:lang w:val="pl"/>
        </w:rPr>
        <w:t xml:space="preserve"> </w:t>
      </w:r>
      <w:r w:rsidRPr="002E58C6">
        <w:rPr>
          <w:kern w:val="0"/>
          <w:sz w:val="22"/>
          <w:szCs w:val="22"/>
          <w:lang w:val="pl"/>
        </w:rPr>
        <w:t>funkcjonują i nie są jeszcze opłacane</w:t>
      </w:r>
      <w:r w:rsidR="005C32B9">
        <w:rPr>
          <w:kern w:val="0"/>
          <w:sz w:val="22"/>
          <w:szCs w:val="22"/>
          <w:lang w:val="pl"/>
        </w:rPr>
        <w:t>- o</w:t>
      </w:r>
      <w:r w:rsidRPr="002E58C6">
        <w:rPr>
          <w:kern w:val="0"/>
          <w:sz w:val="22"/>
          <w:szCs w:val="22"/>
          <w:lang w:val="pl"/>
        </w:rPr>
        <w:t>ff alternatywnymi systemami, w których niezbędne doładowanie nie zostanie pokryte przez konsumenta, nie może być zrównoważone dla rolnika w perspektywie długoterminowej.</w:t>
      </w:r>
      <w:r>
        <w:rPr>
          <w:lang w:val="pl"/>
        </w:rPr>
        <w:t xml:space="preserve"> </w:t>
      </w:r>
      <w:r w:rsidR="00953F6E">
        <w:rPr>
          <w:kern w:val="0"/>
          <w:sz w:val="22"/>
          <w:szCs w:val="22"/>
          <w:lang w:val="pl"/>
        </w:rPr>
        <w:t>Konsumenci nie zawsze zdają sobie sprawę ze zwiększonych kosztów produkcji i potrzeby ich ekonomicznej współpracy w przejściu na alternatywne systemy i są pod silnym wpływem reklamy.</w:t>
      </w:r>
      <w:r>
        <w:rPr>
          <w:lang w:val="pl"/>
        </w:rPr>
        <w:t xml:space="preserve"> </w:t>
      </w:r>
      <w:r w:rsidRPr="002E58C6">
        <w:rPr>
          <w:kern w:val="0"/>
          <w:sz w:val="22"/>
          <w:szCs w:val="22"/>
          <w:lang w:val="pl"/>
        </w:rPr>
        <w:t>Rozwój</w:t>
      </w:r>
      <w:r w:rsidR="00AE5053">
        <w:rPr>
          <w:kern w:val="0"/>
          <w:sz w:val="22"/>
          <w:szCs w:val="22"/>
          <w:lang w:val="pl"/>
        </w:rPr>
        <w:t xml:space="preserve"> </w:t>
      </w:r>
      <w:r w:rsidR="002D651A">
        <w:rPr>
          <w:kern w:val="0"/>
          <w:sz w:val="22"/>
          <w:szCs w:val="22"/>
          <w:lang w:val="pl"/>
        </w:rPr>
        <w:t>ten</w:t>
      </w:r>
      <w:r>
        <w:rPr>
          <w:lang w:val="pl"/>
        </w:rPr>
        <w:t xml:space="preserve"> </w:t>
      </w:r>
      <w:r w:rsidRPr="002E58C6">
        <w:rPr>
          <w:kern w:val="0"/>
          <w:sz w:val="22"/>
          <w:szCs w:val="22"/>
          <w:lang w:val="pl"/>
        </w:rPr>
        <w:t xml:space="preserve"> wypchnie wielu rolników, w szczególności małych i średnich rolników, z działalności gospodarczej i przeniesie produkcję, w tym kwestie związane z dobrostanem, do 3</w:t>
      </w:r>
      <w:r>
        <w:rPr>
          <w:lang w:val="pl"/>
        </w:rPr>
        <w:t xml:space="preserve"> </w:t>
      </w:r>
      <w:r w:rsidRPr="002E58C6">
        <w:rPr>
          <w:kern w:val="0"/>
          <w:sz w:val="22"/>
          <w:szCs w:val="22"/>
          <w:lang w:val="pl"/>
        </w:rPr>
        <w:t xml:space="preserve"> krajów. Krajowe koszty produkcji jaj w wzbogaconych klatkach są o 24% wyższe niż w USA, o 22% wyższe niż na Ukrainie i o 14% wyższe niż w Argentynie. Wraz z przejściem do systemu jaj w stodole różnice będą się dalej pogłębiać, a europejscy rolnicy stracą udziały w rynku krajowym.</w:t>
      </w:r>
      <w:r w:rsidRPr="002E58C6">
        <w:rPr>
          <w:rStyle w:val="Odwoanieprzypisudolnego"/>
          <w:kern w:val="0"/>
          <w:sz w:val="22"/>
          <w:szCs w:val="22"/>
          <w:lang w:val="pl"/>
        </w:rPr>
        <w:footnoteReference w:id="3"/>
      </w:r>
    </w:p>
    <w:p w14:paraId="0479CAC5" w14:textId="77777777" w:rsidR="007D2A65" w:rsidRPr="00BF17FE" w:rsidRDefault="007D2A65" w:rsidP="00BF17FE">
      <w:pPr>
        <w:spacing w:after="160" w:line="259" w:lineRule="auto"/>
        <w:jc w:val="both"/>
        <w:rPr>
          <w:rFonts w:eastAsia="Calibri" w:cs="Calibri"/>
          <w:kern w:val="0"/>
          <w:sz w:val="22"/>
          <w:szCs w:val="22"/>
          <w:lang w:val="pl-PL" w:eastAsia="en-US"/>
        </w:rPr>
      </w:pPr>
      <w:r w:rsidRPr="002D651A">
        <w:rPr>
          <w:kern w:val="0"/>
          <w:sz w:val="22"/>
          <w:szCs w:val="22"/>
          <w:lang w:val="pl"/>
        </w:rPr>
        <w:t>Dodatkowo koszty zmienne produkcji w systemach woliera/stodoła w porównaniu do klatek wzbogaconych są o 16,6% wyższe. Większość importu przybywającego do UE jest produkowana w konwencjonalnych klatkach, gdzie koszty produkcji są o 23% niższe niż w systemie wolier bez uwzględnienia niższych kosztów pracy, paszy i innych (prawodawstwo), które są niższe w</w:t>
      </w:r>
      <w:r w:rsidRPr="002D651A">
        <w:rPr>
          <w:kern w:val="0"/>
          <w:sz w:val="22"/>
          <w:szCs w:val="22"/>
          <w:vertAlign w:val="superscript"/>
          <w:lang w:val="pl"/>
        </w:rPr>
        <w:t>3</w:t>
      </w:r>
      <w:r>
        <w:rPr>
          <w:lang w:val="pl"/>
        </w:rPr>
        <w:t xml:space="preserve"> </w:t>
      </w:r>
      <w:r w:rsidRPr="002D651A">
        <w:rPr>
          <w:kern w:val="0"/>
          <w:sz w:val="22"/>
          <w:szCs w:val="22"/>
          <w:lang w:val="pl"/>
        </w:rPr>
        <w:t xml:space="preserve"> krajach. Dodatkowe zwiększone koszty produkcji będą musiały zostać pokryte z rynku lub dodatkowych środków.</w:t>
      </w:r>
      <w:r w:rsidRPr="002D651A">
        <w:rPr>
          <w:rStyle w:val="Odwoanieprzypisudolnego"/>
          <w:kern w:val="0"/>
          <w:sz w:val="22"/>
          <w:szCs w:val="22"/>
          <w:lang w:val="pl"/>
        </w:rPr>
        <w:footnoteReference w:id="4"/>
      </w:r>
    </w:p>
    <w:p w14:paraId="1D65951E" w14:textId="14646783" w:rsidR="005C32B9" w:rsidRPr="00BF17FE" w:rsidRDefault="005C32B9" w:rsidP="00BF17FE">
      <w:pPr>
        <w:spacing w:after="160" w:line="256" w:lineRule="auto"/>
        <w:jc w:val="both"/>
        <w:rPr>
          <w:rFonts w:eastAsia="Calibri" w:cs="Calibri"/>
          <w:b/>
          <w:bCs/>
          <w:kern w:val="0"/>
          <w:sz w:val="22"/>
          <w:szCs w:val="22"/>
          <w:lang w:val="pl-PL" w:eastAsia="en-US"/>
        </w:rPr>
      </w:pPr>
      <w:r w:rsidRPr="002E58C6">
        <w:rPr>
          <w:kern w:val="0"/>
          <w:sz w:val="22"/>
          <w:szCs w:val="22"/>
          <w:lang w:val="pl"/>
        </w:rPr>
        <w:t xml:space="preserve">Jajka są cennym źródłem białka, które do tej pory było stosunkowo tanie. </w:t>
      </w:r>
      <w:r>
        <w:rPr>
          <w:kern w:val="0"/>
          <w:sz w:val="22"/>
          <w:szCs w:val="22"/>
          <w:lang w:val="pl"/>
        </w:rPr>
        <w:t>Zmniejszą się rosnące koszty produkcji, które będą zgodne z wyższymi standardami,</w:t>
      </w:r>
      <w:r w:rsidR="00AE5053">
        <w:rPr>
          <w:kern w:val="0"/>
          <w:sz w:val="22"/>
          <w:szCs w:val="22"/>
          <w:lang w:val="pl"/>
        </w:rPr>
        <w:t xml:space="preserve"> </w:t>
      </w:r>
      <w:r w:rsidR="00976F1B">
        <w:rPr>
          <w:kern w:val="0"/>
          <w:sz w:val="22"/>
          <w:szCs w:val="22"/>
          <w:lang w:val="pl"/>
        </w:rPr>
        <w:t>dochody rolników i dostęp konsumentów do produktów europejskich.</w:t>
      </w:r>
      <w:r>
        <w:rPr>
          <w:lang w:val="pl"/>
        </w:rPr>
        <w:t xml:space="preserve"> </w:t>
      </w:r>
      <w:r w:rsidR="00976F1B" w:rsidRPr="002E58C6">
        <w:rPr>
          <w:kern w:val="0"/>
          <w:sz w:val="22"/>
          <w:szCs w:val="22"/>
          <w:lang w:val="pl"/>
        </w:rPr>
        <w:t xml:space="preserve">Jaja z systemów klatkowych są znane jako bardzo czyste i nieskazitelne, jeśli chodzi o bezpieczeństwo żywności. Należy przyznać, że zmiana systemu, która jest postrzegana jako zmiana na wyższy dobrostan, może mieć również pewne negatywne </w:t>
      </w:r>
      <w:r>
        <w:rPr>
          <w:lang w:val="pl"/>
        </w:rPr>
        <w:t xml:space="preserve"> </w:t>
      </w:r>
      <w:r w:rsidRPr="002D651A">
        <w:rPr>
          <w:kern w:val="0"/>
          <w:sz w:val="22"/>
          <w:szCs w:val="22"/>
          <w:lang w:val="pl"/>
        </w:rPr>
        <w:t xml:space="preserve">aspekty dla innych ważnych celów, owych, dotyczących np. celów </w:t>
      </w:r>
      <w:r w:rsidRPr="002D651A">
        <w:rPr>
          <w:kern w:val="0"/>
          <w:sz w:val="22"/>
          <w:szCs w:val="22"/>
          <w:lang w:val="pl"/>
        </w:rPr>
        <w:lastRenderedPageBreak/>
        <w:t>środowiskowych (zwiększona emisja i zużycie pasz), bezpieczeństwa żywności lub zdrowia zwierząt.</w:t>
      </w:r>
    </w:p>
    <w:p w14:paraId="6B599CDF" w14:textId="37B73D67" w:rsidR="008E6BB3" w:rsidRPr="00BF17FE" w:rsidRDefault="008E6BB3" w:rsidP="00BF17FE">
      <w:pPr>
        <w:spacing w:after="160" w:line="259" w:lineRule="auto"/>
        <w:jc w:val="both"/>
        <w:rPr>
          <w:rFonts w:eastAsia="Calibri" w:cs="Calibri"/>
          <w:kern w:val="0"/>
          <w:sz w:val="22"/>
          <w:szCs w:val="22"/>
          <w:lang w:val="pl-PL" w:eastAsia="en-US"/>
        </w:rPr>
      </w:pPr>
      <w:r>
        <w:rPr>
          <w:kern w:val="0"/>
          <w:sz w:val="22"/>
          <w:szCs w:val="22"/>
          <w:lang w:val="pl"/>
        </w:rPr>
        <w:t xml:space="preserve">Jak podkreślono </w:t>
      </w:r>
      <w:bookmarkStart w:id="3" w:name="_Hlk78413253"/>
      <w:r>
        <w:rPr>
          <w:kern w:val="0"/>
          <w:sz w:val="22"/>
          <w:szCs w:val="22"/>
          <w:lang w:val="pl"/>
        </w:rPr>
        <w:t xml:space="preserve">wcześniej, sektor dokonał ogromnych inwestycji w latach około 2012 i później. Okres amortyzacji budynków, w tym nowych urządzeń, jest bardzo długi, a w przypadku zmiany przepisów przed zakończeniem okresu amortyzacji rolnicy ponieśliby duże straty. Aby zapewnić przejście do alternatywnego systemu, który nie jest w pełni wspierany przez rynek, ale do którego dąży polityka, sektor potrzebowałby odpowiedniego okresu przejściowego i/lub wystarczającego wsparcia finansowego. </w:t>
      </w:r>
      <w:r>
        <w:rPr>
          <w:lang w:val="pl"/>
        </w:rPr>
        <w:t xml:space="preserve"> </w:t>
      </w:r>
      <w:proofErr w:type="spellStart"/>
      <w:r w:rsidRPr="002D651A">
        <w:rPr>
          <w:kern w:val="0"/>
          <w:sz w:val="22"/>
          <w:szCs w:val="22"/>
          <w:highlight w:val="red"/>
          <w:lang w:val="pl"/>
        </w:rPr>
        <w:t>Copa-Cogeca</w:t>
      </w:r>
      <w:proofErr w:type="spellEnd"/>
      <w:r w:rsidR="00BF17FE">
        <w:rPr>
          <w:kern w:val="0"/>
          <w:sz w:val="22"/>
          <w:szCs w:val="22"/>
          <w:highlight w:val="red"/>
          <w:lang w:val="pl"/>
        </w:rPr>
        <w:t xml:space="preserve"> GR Drób i Jaja</w:t>
      </w:r>
      <w:r w:rsidRPr="002D651A">
        <w:rPr>
          <w:kern w:val="0"/>
          <w:sz w:val="22"/>
          <w:szCs w:val="22"/>
          <w:highlight w:val="red"/>
          <w:lang w:val="pl"/>
        </w:rPr>
        <w:t xml:space="preserve"> szacuje, że aby osiągnąć produkcję </w:t>
      </w:r>
      <w:proofErr w:type="spellStart"/>
      <w:r w:rsidRPr="002D651A">
        <w:rPr>
          <w:kern w:val="0"/>
          <w:sz w:val="22"/>
          <w:szCs w:val="22"/>
          <w:highlight w:val="red"/>
          <w:lang w:val="pl"/>
        </w:rPr>
        <w:t>bezklatkową</w:t>
      </w:r>
      <w:proofErr w:type="spellEnd"/>
      <w:r w:rsidRPr="002D651A">
        <w:rPr>
          <w:kern w:val="0"/>
          <w:sz w:val="22"/>
          <w:szCs w:val="22"/>
          <w:highlight w:val="red"/>
          <w:lang w:val="pl"/>
        </w:rPr>
        <w:t xml:space="preserve"> u europejskich kur niosek, dodatkowo do wszystkich warunków wstępnych wymienionych w ogólnej części dokumentu, sektor potrzebowałby co najmniej </w:t>
      </w:r>
      <w:proofErr w:type="spellStart"/>
      <w:r w:rsidRPr="002D651A">
        <w:rPr>
          <w:kern w:val="0"/>
          <w:sz w:val="22"/>
          <w:szCs w:val="22"/>
          <w:highlight w:val="red"/>
          <w:lang w:val="pl"/>
        </w:rPr>
        <w:t>xy</w:t>
      </w:r>
      <w:proofErr w:type="spellEnd"/>
      <w:r w:rsidRPr="002D651A">
        <w:rPr>
          <w:kern w:val="0"/>
          <w:sz w:val="22"/>
          <w:szCs w:val="22"/>
          <w:highlight w:val="red"/>
          <w:lang w:val="pl"/>
        </w:rPr>
        <w:t xml:space="preserve"> lat, aby uniknąć strat. Okres przejściowy może być również krótszy, jeżeli zapewniony byłby wystarczający zwrot kosztów dla rolników.</w:t>
      </w:r>
    </w:p>
    <w:bookmarkEnd w:id="3"/>
    <w:p w14:paraId="69E4BFAF" w14:textId="77777777" w:rsidR="004A6B7B" w:rsidRPr="00BF17FE" w:rsidRDefault="00060075" w:rsidP="00BF17FE">
      <w:pPr>
        <w:spacing w:after="160" w:line="259" w:lineRule="auto"/>
        <w:jc w:val="both"/>
        <w:rPr>
          <w:rFonts w:eastAsia="Calibri" w:cs="Calibri"/>
          <w:kern w:val="0"/>
          <w:sz w:val="22"/>
          <w:szCs w:val="22"/>
          <w:u w:val="single"/>
          <w:lang w:val="pl-PL" w:eastAsia="en-US"/>
        </w:rPr>
      </w:pPr>
      <w:r w:rsidRPr="002E58C6">
        <w:rPr>
          <w:kern w:val="0"/>
          <w:sz w:val="22"/>
          <w:szCs w:val="22"/>
          <w:u w:val="single"/>
          <w:lang w:val="pl"/>
        </w:rPr>
        <w:t xml:space="preserve">Przycinanie </w:t>
      </w:r>
      <w:proofErr w:type="spellStart"/>
      <w:r w:rsidRPr="002E58C6">
        <w:rPr>
          <w:kern w:val="0"/>
          <w:sz w:val="22"/>
          <w:szCs w:val="22"/>
          <w:u w:val="single"/>
          <w:lang w:val="pl"/>
        </w:rPr>
        <w:t>dzioba</w:t>
      </w:r>
      <w:proofErr w:type="spellEnd"/>
    </w:p>
    <w:p w14:paraId="079A8866" w14:textId="6AE3BDAA" w:rsidR="004A6B7B" w:rsidRPr="00BF17FE" w:rsidRDefault="00060075" w:rsidP="00BF17FE">
      <w:pPr>
        <w:spacing w:after="160" w:line="259" w:lineRule="auto"/>
        <w:jc w:val="both"/>
        <w:rPr>
          <w:rFonts w:eastAsia="Calibri" w:cs="Calibri"/>
          <w:kern w:val="0"/>
          <w:sz w:val="22"/>
          <w:szCs w:val="22"/>
          <w:lang w:val="pl-PL" w:eastAsia="en-US"/>
        </w:rPr>
      </w:pPr>
      <w:r w:rsidRPr="002E58C6">
        <w:rPr>
          <w:kern w:val="0"/>
          <w:sz w:val="22"/>
          <w:szCs w:val="22"/>
          <w:lang w:val="pl"/>
        </w:rPr>
        <w:t>Przycinanie dziobów jest praktyką stosowaną na całym świecie w celu zapobiegania szkodliwemu dziobaniu kur niosek, ale także innych gatunków drobiu. Dziobanie może spowodować uszkodzenie piór lub skóry, a następnie</w:t>
      </w:r>
      <w:r w:rsidR="00AE5053">
        <w:rPr>
          <w:kern w:val="0"/>
          <w:sz w:val="22"/>
          <w:szCs w:val="22"/>
          <w:lang w:val="pl"/>
        </w:rPr>
        <w:t xml:space="preserve"> </w:t>
      </w:r>
      <w:r w:rsidR="00976F1B">
        <w:rPr>
          <w:kern w:val="0"/>
          <w:sz w:val="22"/>
          <w:szCs w:val="22"/>
          <w:lang w:val="pl"/>
        </w:rPr>
        <w:t>rany,</w:t>
      </w:r>
      <w:r>
        <w:rPr>
          <w:lang w:val="pl"/>
        </w:rPr>
        <w:t xml:space="preserve"> </w:t>
      </w:r>
      <w:r w:rsidRPr="002E58C6">
        <w:rPr>
          <w:kern w:val="0"/>
          <w:sz w:val="22"/>
          <w:szCs w:val="22"/>
          <w:lang w:val="pl"/>
        </w:rPr>
        <w:t xml:space="preserve"> wyższą śmiertelność</w:t>
      </w:r>
      <w:r>
        <w:rPr>
          <w:lang w:val="pl"/>
        </w:rPr>
        <w:t xml:space="preserve"> </w:t>
      </w:r>
      <w:r w:rsidR="00976F1B">
        <w:rPr>
          <w:kern w:val="0"/>
          <w:sz w:val="22"/>
          <w:szCs w:val="22"/>
          <w:lang w:val="pl"/>
        </w:rPr>
        <w:t xml:space="preserve"> i </w:t>
      </w:r>
      <w:r>
        <w:rPr>
          <w:lang w:val="pl"/>
        </w:rPr>
        <w:t xml:space="preserve"> </w:t>
      </w:r>
      <w:r w:rsidR="00976F1B" w:rsidRPr="002E58C6">
        <w:rPr>
          <w:kern w:val="0"/>
          <w:sz w:val="22"/>
          <w:szCs w:val="22"/>
          <w:lang w:val="pl"/>
        </w:rPr>
        <w:t>niższą wydajność paszy. Wybuch zbierania może nawet wystąpić w stadzie z przyciętymi dziobami, ale uszkodzenia i obrażenia są zminimalizowane.</w:t>
      </w:r>
      <w:r w:rsidRPr="002E58C6">
        <w:rPr>
          <w:kern w:val="0"/>
          <w:sz w:val="22"/>
          <w:szCs w:val="22"/>
          <w:vertAlign w:val="superscript"/>
          <w:lang w:val="pl"/>
        </w:rPr>
        <w:footnoteReference w:id="5"/>
      </w:r>
    </w:p>
    <w:p w14:paraId="4E6F7324" w14:textId="0D226B79" w:rsidR="004A6B7B" w:rsidRPr="00BF17FE" w:rsidRDefault="00060075" w:rsidP="00BF17FE">
      <w:pPr>
        <w:spacing w:after="160" w:line="259" w:lineRule="auto"/>
        <w:jc w:val="both"/>
        <w:rPr>
          <w:rFonts w:eastAsia="Calibri" w:cs="Calibri"/>
          <w:kern w:val="0"/>
          <w:sz w:val="22"/>
          <w:szCs w:val="22"/>
          <w:lang w:val="pl-PL" w:eastAsia="en-US"/>
        </w:rPr>
      </w:pPr>
      <w:r w:rsidRPr="002E58C6">
        <w:rPr>
          <w:kern w:val="0"/>
          <w:sz w:val="22"/>
          <w:szCs w:val="22"/>
          <w:lang w:val="pl"/>
        </w:rPr>
        <w:t xml:space="preserve">Wyeliminowanie procedury przycinania </w:t>
      </w:r>
      <w:proofErr w:type="spellStart"/>
      <w:r w:rsidRPr="002E58C6">
        <w:rPr>
          <w:kern w:val="0"/>
          <w:sz w:val="22"/>
          <w:szCs w:val="22"/>
          <w:lang w:val="pl"/>
        </w:rPr>
        <w:t>dzioba</w:t>
      </w:r>
      <w:proofErr w:type="spellEnd"/>
      <w:r w:rsidRPr="002E58C6">
        <w:rPr>
          <w:kern w:val="0"/>
          <w:sz w:val="22"/>
          <w:szCs w:val="22"/>
          <w:lang w:val="pl"/>
        </w:rPr>
        <w:t xml:space="preserve"> mogłoby zaszkodzić wspólnemu dobrostanowi zwierząt i zwiększyć możliwość agresywnych </w:t>
      </w:r>
      <w:proofErr w:type="spellStart"/>
      <w:r w:rsidRPr="002E58C6">
        <w:rPr>
          <w:kern w:val="0"/>
          <w:sz w:val="22"/>
          <w:szCs w:val="22"/>
          <w:lang w:val="pl"/>
        </w:rPr>
        <w:t>zachowań</w:t>
      </w:r>
      <w:proofErr w:type="spellEnd"/>
      <w:r w:rsidRPr="002E58C6">
        <w:rPr>
          <w:kern w:val="0"/>
          <w:sz w:val="22"/>
          <w:szCs w:val="22"/>
          <w:lang w:val="pl"/>
        </w:rPr>
        <w:t>. Powody, dla których występuje zbieranie i kanibalizm, są wieloczynnikowe i mogą być związane ze stresem cieplnym, światłem, genetyką stada, czerwonym roztoczem, obniżoną jakością składników paszy lub konsystencją paszy. Ze względu na problemy wewnętrzne lub zewnętrzne mogą wystąpić pewne problemy ze zbieraniem i kanibalizmem, chociaż rolnicy pracują ze swoimi zwierzętami bardzo ostrożnie. Gdy tylko zaczyna się kanibalizm, prawie niemożliwe jest przywrócenie stada do normy. Kwestie dobrostanu mogą być bardzo wysokie i skutkować wysoką agresywnością/dużą liczbą ataków i śmiertelnością.</w:t>
      </w:r>
    </w:p>
    <w:p w14:paraId="24A10DDD" w14:textId="77777777" w:rsidR="00B122DC" w:rsidRPr="00BF17FE" w:rsidRDefault="00060075" w:rsidP="00BF17FE">
      <w:pPr>
        <w:spacing w:after="160" w:line="259" w:lineRule="auto"/>
        <w:jc w:val="both"/>
        <w:rPr>
          <w:rFonts w:eastAsia="Calibri" w:cs="Calibri"/>
          <w:kern w:val="0"/>
          <w:sz w:val="22"/>
          <w:szCs w:val="22"/>
          <w:lang w:val="pl-PL" w:eastAsia="en-US"/>
        </w:rPr>
      </w:pPr>
      <w:bookmarkStart w:id="4" w:name="_Hlk78413489"/>
      <w:r w:rsidRPr="002D651A">
        <w:rPr>
          <w:kern w:val="0"/>
          <w:sz w:val="22"/>
          <w:szCs w:val="22"/>
          <w:lang w:val="pl"/>
        </w:rPr>
        <w:t xml:space="preserve">Europejscy rolnicy starają się zmierzać w kierunku ograniczenia przycinania dziobów, ale nadal borykają się z wieloma problemami i brakiem wiedzy naukowej. Chcielibyśmy zwrócić się do Komisji o wsparcie badań i innowacji w celu zrozumienia tego zjawiska i zapewnienia wskazówek dotyczących najlepszych praktyk w celu uniknięcia kanibalizmu. Badania powinny obejmować testowanie różnych genów oraz sposobów zarządzania i hodowli również brojlerów, kaczek i indyków. Ponadto Komisja Europejska powinna również promować stosowanie białych jaj wśród konsumentów, ponieważ zarządzanie nimi jest znacznie łatwiejsze również w przypadku trzymania ptaków z nienaruszonymi dziobami. W międzyczasie rolnicy będą kontynuować pracę nad dostarczaniem rozwiązań, zapewniając jednocześnie najlepszy dobrostan zwierząt w gospodarstwach komercyjnych zgodnie z najbardziej zaawansowaną dostępną nauką. </w:t>
      </w:r>
    </w:p>
    <w:bookmarkEnd w:id="4"/>
    <w:p w14:paraId="519D8C55" w14:textId="77777777" w:rsidR="004A6B7B" w:rsidRPr="00BF17FE" w:rsidRDefault="00060075" w:rsidP="00BF17FE">
      <w:pPr>
        <w:spacing w:after="160" w:line="259" w:lineRule="auto"/>
        <w:jc w:val="both"/>
        <w:rPr>
          <w:rFonts w:eastAsia="Calibri" w:cs="Calibri"/>
          <w:kern w:val="0"/>
          <w:sz w:val="22"/>
          <w:szCs w:val="22"/>
          <w:u w:val="single"/>
          <w:lang w:val="pl-PL" w:eastAsia="en-US"/>
        </w:rPr>
      </w:pPr>
      <w:r w:rsidRPr="002E58C6">
        <w:rPr>
          <w:kern w:val="0"/>
          <w:sz w:val="22"/>
          <w:szCs w:val="22"/>
          <w:u w:val="single"/>
          <w:lang w:val="pl"/>
        </w:rPr>
        <w:t>Wybór piskląt płci męskiej</w:t>
      </w:r>
    </w:p>
    <w:p w14:paraId="241D89CC" w14:textId="2DE224C4" w:rsidR="004A6B7B" w:rsidRPr="00BF17FE" w:rsidRDefault="00060075" w:rsidP="00BF17FE">
      <w:pPr>
        <w:spacing w:after="160" w:line="259" w:lineRule="auto"/>
        <w:jc w:val="both"/>
        <w:rPr>
          <w:rFonts w:eastAsia="Calibri" w:cs="Calibri"/>
          <w:kern w:val="0"/>
          <w:sz w:val="22"/>
          <w:szCs w:val="22"/>
          <w:lang w:val="pl-PL" w:eastAsia="en-US"/>
        </w:rPr>
      </w:pPr>
      <w:r w:rsidRPr="002E58C6">
        <w:rPr>
          <w:kern w:val="0"/>
          <w:sz w:val="22"/>
          <w:szCs w:val="22"/>
          <w:lang w:val="pl"/>
        </w:rPr>
        <w:t xml:space="preserve">Wybór piskląt płci męskiej jest problemem etycznym, a nie dobrostanem. Obecne zatwierdzone metody zostały ocenione naukowo i zapewniają dobre warunki dobrostanu, jeśli są właściwie wdrażane. </w:t>
      </w:r>
      <w:r w:rsidR="007D2A65">
        <w:rPr>
          <w:kern w:val="0"/>
          <w:sz w:val="22"/>
          <w:szCs w:val="22"/>
          <w:lang w:val="pl"/>
        </w:rPr>
        <w:t>Mimo to</w:t>
      </w:r>
      <w:r>
        <w:rPr>
          <w:lang w:val="pl"/>
        </w:rPr>
        <w:t xml:space="preserve"> </w:t>
      </w:r>
      <w:r w:rsidRPr="002E58C6">
        <w:rPr>
          <w:kern w:val="0"/>
          <w:sz w:val="22"/>
          <w:szCs w:val="22"/>
          <w:lang w:val="pl"/>
        </w:rPr>
        <w:t xml:space="preserve"> rolnicy dążą do stopniowego wycofywania procesu selekcji piskląt płci męskiej.</w:t>
      </w:r>
      <w:r>
        <w:rPr>
          <w:lang w:val="pl"/>
        </w:rPr>
        <w:t xml:space="preserve"> </w:t>
      </w:r>
      <w:r w:rsidR="00976F1B">
        <w:rPr>
          <w:kern w:val="0"/>
          <w:sz w:val="22"/>
          <w:szCs w:val="22"/>
          <w:lang w:val="pl"/>
        </w:rPr>
        <w:t>Alternatywą dla tej procedury jest</w:t>
      </w:r>
      <w:r>
        <w:rPr>
          <w:lang w:val="pl"/>
        </w:rPr>
        <w:t xml:space="preserve"> </w:t>
      </w:r>
      <w:r w:rsidRPr="002E58C6">
        <w:rPr>
          <w:kern w:val="0"/>
          <w:sz w:val="22"/>
          <w:szCs w:val="22"/>
          <w:lang w:val="pl"/>
        </w:rPr>
        <w:t xml:space="preserve"> trzymanie "braci", w których pisklęta płci męskiej są trzymane na mięso. Ponieważ potrzebują więcej czasu na rozwój, nakładają dodatkowe koszty w hodowli, które nie są rekompensowane przez ceny rynkowe mięsa </w:t>
      </w:r>
      <w:r w:rsidRPr="002E58C6">
        <w:rPr>
          <w:kern w:val="0"/>
          <w:sz w:val="22"/>
          <w:szCs w:val="22"/>
          <w:lang w:val="pl"/>
        </w:rPr>
        <w:lastRenderedPageBreak/>
        <w:t>drobiowego. Jednocześnie nie rozwijają niektórych popularnych części, takich jak piersi z kurczaka w rozmiarze żądanym przez konsumentów. Ich dodatkowa cena musiałaby być finansowana z ceny</w:t>
      </w:r>
      <w:r>
        <w:rPr>
          <w:lang w:val="pl"/>
        </w:rPr>
        <w:t xml:space="preserve"> </w:t>
      </w:r>
      <w:r w:rsidR="007D2A65">
        <w:rPr>
          <w:kern w:val="0"/>
          <w:sz w:val="22"/>
          <w:szCs w:val="22"/>
          <w:lang w:val="pl"/>
        </w:rPr>
        <w:t xml:space="preserve"> jaj</w:t>
      </w:r>
      <w:r w:rsidRPr="002E58C6">
        <w:rPr>
          <w:kern w:val="0"/>
          <w:sz w:val="22"/>
          <w:szCs w:val="22"/>
          <w:lang w:val="pl"/>
        </w:rPr>
        <w:t>. Istnieje słaby popyt na "bratnie kury", a rolnicy mają problemy ze sprzedażą ich do rzeźni, ale także otrzymywaniem doładowania z rynku w</w:t>
      </w:r>
      <w:r w:rsidR="00BF17FE">
        <w:rPr>
          <w:kern w:val="0"/>
          <w:sz w:val="22"/>
          <w:szCs w:val="22"/>
          <w:lang w:val="pl"/>
        </w:rPr>
        <w:t xml:space="preserve"> </w:t>
      </w:r>
      <w:r w:rsidR="00976F1B">
        <w:rPr>
          <w:kern w:val="0"/>
          <w:sz w:val="22"/>
          <w:szCs w:val="22"/>
          <w:lang w:val="pl"/>
        </w:rPr>
        <w:t>inny</w:t>
      </w:r>
      <w:r w:rsidRPr="002E58C6">
        <w:rPr>
          <w:kern w:val="0"/>
          <w:sz w:val="22"/>
          <w:szCs w:val="22"/>
          <w:lang w:val="pl"/>
        </w:rPr>
        <w:t xml:space="preserve"> sposób.</w:t>
      </w:r>
    </w:p>
    <w:p w14:paraId="1C3C26B0" w14:textId="13ADAA6E" w:rsidR="004A6B7B" w:rsidRPr="00BF17FE" w:rsidRDefault="00060075" w:rsidP="00BF17FE">
      <w:pPr>
        <w:spacing w:after="160" w:line="259" w:lineRule="auto"/>
        <w:jc w:val="both"/>
        <w:rPr>
          <w:rFonts w:eastAsia="Calibri" w:cs="Calibri"/>
          <w:kern w:val="0"/>
          <w:sz w:val="22"/>
          <w:szCs w:val="22"/>
          <w:lang w:val="pl-PL" w:eastAsia="en-US"/>
        </w:rPr>
      </w:pPr>
      <w:r w:rsidRPr="002E58C6">
        <w:rPr>
          <w:kern w:val="0"/>
          <w:sz w:val="22"/>
          <w:szCs w:val="22"/>
          <w:lang w:val="pl"/>
        </w:rPr>
        <w:t xml:space="preserve">Już od wielu lat trwają wysiłki na rzecz znalezienia technologii do wykrywania płci pisklęcia przed wylęgiem. Technologia ta jest już na miejscu, ale </w:t>
      </w:r>
      <w:r w:rsidR="00976F1B">
        <w:rPr>
          <w:kern w:val="0"/>
          <w:sz w:val="22"/>
          <w:szCs w:val="22"/>
          <w:lang w:val="pl"/>
        </w:rPr>
        <w:t xml:space="preserve">ze względu </w:t>
      </w:r>
      <w:r>
        <w:rPr>
          <w:lang w:val="pl"/>
        </w:rPr>
        <w:t xml:space="preserve"> </w:t>
      </w:r>
      <w:r w:rsidRPr="002E58C6">
        <w:rPr>
          <w:kern w:val="0"/>
          <w:sz w:val="22"/>
          <w:szCs w:val="22"/>
          <w:lang w:val="pl"/>
        </w:rPr>
        <w:t xml:space="preserve">na wysokie koszty </w:t>
      </w:r>
      <w:r>
        <w:rPr>
          <w:lang w:val="pl"/>
        </w:rPr>
        <w:t xml:space="preserve"> </w:t>
      </w:r>
      <w:r w:rsidR="00976F1B">
        <w:rPr>
          <w:kern w:val="0"/>
          <w:sz w:val="22"/>
          <w:szCs w:val="22"/>
          <w:lang w:val="pl"/>
        </w:rPr>
        <w:t xml:space="preserve"> </w:t>
      </w:r>
      <w:r>
        <w:rPr>
          <w:lang w:val="pl"/>
        </w:rPr>
        <w:t xml:space="preserve">rozwiązanie nie </w:t>
      </w:r>
      <w:r w:rsidR="00976F1B">
        <w:rPr>
          <w:kern w:val="0"/>
          <w:sz w:val="22"/>
          <w:szCs w:val="22"/>
          <w:lang w:val="pl"/>
        </w:rPr>
        <w:t xml:space="preserve">jest </w:t>
      </w:r>
      <w:r>
        <w:rPr>
          <w:lang w:val="pl"/>
        </w:rPr>
        <w:t xml:space="preserve"> </w:t>
      </w:r>
      <w:r w:rsidRPr="002E58C6">
        <w:rPr>
          <w:kern w:val="0"/>
          <w:sz w:val="22"/>
          <w:szCs w:val="22"/>
          <w:lang w:val="pl"/>
        </w:rPr>
        <w:t xml:space="preserve">jeszcze w pełni gotowe do użytku komercyjnego. Rolnicy, naukowcy i przemysł mieliby czas na dalszy rozwój procesu seksu in-ovo i uczynienie go komercyjnie opłacalnym do </w:t>
      </w:r>
      <w:r>
        <w:rPr>
          <w:lang w:val="pl"/>
        </w:rPr>
        <w:t xml:space="preserve"> </w:t>
      </w:r>
      <w:r w:rsidR="007D2A65">
        <w:rPr>
          <w:kern w:val="0"/>
          <w:sz w:val="22"/>
          <w:szCs w:val="22"/>
          <w:lang w:val="pl"/>
        </w:rPr>
        <w:t>stosowania w</w:t>
      </w:r>
      <w:r>
        <w:rPr>
          <w:lang w:val="pl"/>
        </w:rPr>
        <w:t xml:space="preserve"> </w:t>
      </w:r>
      <w:r w:rsidRPr="002E58C6">
        <w:rPr>
          <w:kern w:val="0"/>
          <w:sz w:val="22"/>
          <w:szCs w:val="22"/>
          <w:lang w:val="pl"/>
        </w:rPr>
        <w:t xml:space="preserve"> gospodarstwie</w:t>
      </w:r>
      <w:r>
        <w:rPr>
          <w:lang w:val="pl"/>
        </w:rPr>
        <w:t xml:space="preserve"> po ogromnym</w:t>
      </w:r>
      <w:r w:rsidR="007D2A65">
        <w:rPr>
          <w:kern w:val="0"/>
          <w:sz w:val="22"/>
          <w:szCs w:val="22"/>
          <w:lang w:val="pl"/>
        </w:rPr>
        <w:t xml:space="preserve"> postępie w ostatnich latach</w:t>
      </w:r>
      <w:r w:rsidRPr="002E58C6">
        <w:rPr>
          <w:kern w:val="0"/>
          <w:sz w:val="22"/>
          <w:szCs w:val="22"/>
          <w:lang w:val="pl"/>
        </w:rPr>
        <w:t>.</w:t>
      </w:r>
      <w:r>
        <w:rPr>
          <w:lang w:val="pl"/>
        </w:rPr>
        <w:t xml:space="preserve"> </w:t>
      </w:r>
      <w:r w:rsidRPr="002E395F">
        <w:rPr>
          <w:kern w:val="0"/>
          <w:sz w:val="22"/>
          <w:szCs w:val="22"/>
          <w:shd w:val="clear" w:color="auto" w:fill="F2F2F2"/>
          <w:lang w:val="pl"/>
        </w:rPr>
        <w:t>Ponieważ niektóre technologie</w:t>
      </w:r>
      <w:r>
        <w:rPr>
          <w:lang w:val="pl"/>
        </w:rPr>
        <w:t xml:space="preserve"> </w:t>
      </w:r>
      <w:r w:rsidRPr="002E395F">
        <w:rPr>
          <w:kern w:val="0"/>
          <w:sz w:val="22"/>
          <w:szCs w:val="22"/>
          <w:lang w:val="pl"/>
        </w:rPr>
        <w:t xml:space="preserve"> in-ovo </w:t>
      </w:r>
      <w:proofErr w:type="spellStart"/>
      <w:r w:rsidRPr="002E395F">
        <w:rPr>
          <w:kern w:val="0"/>
          <w:sz w:val="22"/>
          <w:szCs w:val="22"/>
          <w:lang w:val="pl"/>
        </w:rPr>
        <w:t>sexing</w:t>
      </w:r>
      <w:proofErr w:type="spellEnd"/>
      <w:r w:rsidRPr="002E395F">
        <w:rPr>
          <w:kern w:val="0"/>
          <w:sz w:val="22"/>
          <w:szCs w:val="22"/>
          <w:lang w:val="pl"/>
        </w:rPr>
        <w:t xml:space="preserve"> opierają się na markerach molekularnych, które są uważane za GMO, istnieje również potrzeba oddzielenia definicji nowych technik genetycznych od ram prawnych GMO w celu przyspieszenia tego procesu. Rolnicy są gotowi zaprzestać praktyki selekcji piskląt płci męskiej i jednocześnie są bardzo pozytywni, że będą w stanie zrobić kolejny krok w nadchodzących latach. </w:t>
      </w:r>
    </w:p>
    <w:p w14:paraId="6F70D8C5" w14:textId="54560FF7" w:rsidR="00D670B7" w:rsidRPr="00BF17FE" w:rsidRDefault="00D670B7" w:rsidP="00BF17FE">
      <w:pPr>
        <w:spacing w:after="160" w:line="259" w:lineRule="auto"/>
        <w:jc w:val="both"/>
        <w:rPr>
          <w:rFonts w:eastAsia="Calibri" w:cs="Calibri"/>
          <w:kern w:val="0"/>
          <w:sz w:val="22"/>
          <w:szCs w:val="22"/>
          <w:lang w:val="pl-PL" w:eastAsia="en-US"/>
        </w:rPr>
      </w:pPr>
      <w:r>
        <w:rPr>
          <w:kern w:val="0"/>
          <w:sz w:val="22"/>
          <w:szCs w:val="22"/>
          <w:lang w:val="pl"/>
        </w:rPr>
        <w:t xml:space="preserve">W niektórych krajach przejście na </w:t>
      </w:r>
      <w:proofErr w:type="spellStart"/>
      <w:r w:rsidR="00BF17FE">
        <w:rPr>
          <w:kern w:val="0"/>
          <w:sz w:val="22"/>
          <w:szCs w:val="22"/>
          <w:lang w:val="pl"/>
        </w:rPr>
        <w:t>sexing</w:t>
      </w:r>
      <w:proofErr w:type="spellEnd"/>
      <w:r w:rsidR="00BF17FE">
        <w:rPr>
          <w:kern w:val="0"/>
          <w:sz w:val="22"/>
          <w:szCs w:val="22"/>
          <w:lang w:val="pl"/>
        </w:rPr>
        <w:t xml:space="preserve"> in-ovo</w:t>
      </w:r>
      <w:r>
        <w:rPr>
          <w:kern w:val="0"/>
          <w:sz w:val="22"/>
          <w:szCs w:val="22"/>
          <w:lang w:val="pl"/>
        </w:rPr>
        <w:t xml:space="preserve"> już ma miejsce. Mimo że zainteresowanie opinii publicznej wydaje się istnieć, rolnicy mają problemy ze sprzedażą jaj za premię, która pokryłaby dodatkowe koszty. Ani supermarkety, ani stacje pakowania nie chcą zobowiązać się do zakupu jaj, w tym ceny </w:t>
      </w:r>
      <w:proofErr w:type="spellStart"/>
      <w:r>
        <w:rPr>
          <w:kern w:val="0"/>
          <w:sz w:val="22"/>
          <w:szCs w:val="22"/>
          <w:lang w:val="pl"/>
        </w:rPr>
        <w:t>premium</w:t>
      </w:r>
      <w:proofErr w:type="spellEnd"/>
      <w:r>
        <w:rPr>
          <w:kern w:val="0"/>
          <w:sz w:val="22"/>
          <w:szCs w:val="22"/>
          <w:lang w:val="pl"/>
        </w:rPr>
        <w:t>, co powoduje dużą niepewność na poziomie gospodarstwa.</w:t>
      </w:r>
    </w:p>
    <w:p w14:paraId="4AA4DDAB" w14:textId="41E53D7B" w:rsidR="005975F9" w:rsidRPr="00BF17FE" w:rsidRDefault="00BF17FE" w:rsidP="00BF17FE">
      <w:pPr>
        <w:spacing w:after="160" w:line="259" w:lineRule="auto"/>
        <w:jc w:val="both"/>
        <w:rPr>
          <w:rFonts w:eastAsia="Calibri" w:cs="Calibri"/>
          <w:kern w:val="0"/>
          <w:sz w:val="22"/>
          <w:szCs w:val="22"/>
          <w:lang w:val="pl-PL" w:eastAsia="en-US"/>
        </w:rPr>
      </w:pPr>
      <w:bookmarkStart w:id="5" w:name="_Hlk78413559"/>
      <w:r>
        <w:rPr>
          <w:kern w:val="0"/>
          <w:sz w:val="22"/>
          <w:szCs w:val="22"/>
          <w:lang w:val="pl"/>
        </w:rPr>
        <w:t>GR Drób i Jaja</w:t>
      </w:r>
      <w:r w:rsidR="00060075" w:rsidRPr="002E395F">
        <w:rPr>
          <w:kern w:val="0"/>
          <w:sz w:val="22"/>
          <w:szCs w:val="22"/>
          <w:lang w:val="pl"/>
        </w:rPr>
        <w:t xml:space="preserve"> uważa, że rozwiązanie rynkowe w celu stopniowego wycofywania selekcji piskląt płci męskiej będzie dostępne </w:t>
      </w:r>
      <w:r w:rsidR="007D2A65">
        <w:rPr>
          <w:kern w:val="0"/>
          <w:sz w:val="22"/>
          <w:szCs w:val="22"/>
          <w:lang w:val="pl"/>
        </w:rPr>
        <w:t xml:space="preserve">w ciągu najbliższych </w:t>
      </w:r>
      <w:proofErr w:type="spellStart"/>
      <w:r w:rsidR="007D2A65">
        <w:rPr>
          <w:kern w:val="0"/>
          <w:sz w:val="22"/>
          <w:szCs w:val="22"/>
          <w:lang w:val="pl"/>
        </w:rPr>
        <w:t>lat,</w:t>
      </w:r>
      <w:r w:rsidR="00060075">
        <w:rPr>
          <w:lang w:val="pl"/>
        </w:rPr>
        <w:t>dlatego</w:t>
      </w:r>
      <w:proofErr w:type="spellEnd"/>
      <w:r w:rsidR="00060075">
        <w:rPr>
          <w:lang w:val="pl"/>
        </w:rPr>
        <w:t xml:space="preserve"> </w:t>
      </w:r>
      <w:r w:rsidR="00D670B7">
        <w:rPr>
          <w:kern w:val="0"/>
          <w:sz w:val="22"/>
          <w:szCs w:val="22"/>
          <w:lang w:val="pl"/>
        </w:rPr>
        <w:t>zobowiążemy</w:t>
      </w:r>
      <w:r w:rsidR="00060075">
        <w:rPr>
          <w:lang w:val="pl"/>
        </w:rPr>
        <w:t xml:space="preserve"> </w:t>
      </w:r>
      <w:r w:rsidR="00060075" w:rsidRPr="002E395F">
        <w:rPr>
          <w:kern w:val="0"/>
          <w:sz w:val="22"/>
          <w:szCs w:val="22"/>
          <w:lang w:val="pl"/>
        </w:rPr>
        <w:t xml:space="preserve"> się do stopniowego wycofywania obecnych procedur, gdy rozwiązanie technologiczne będzie komercyjnie opłacalne.</w:t>
      </w:r>
      <w:r w:rsidR="00060075">
        <w:rPr>
          <w:lang w:val="pl"/>
        </w:rPr>
        <w:t xml:space="preserve"> </w:t>
      </w:r>
      <w:r w:rsidR="00060075" w:rsidRPr="002E395F">
        <w:rPr>
          <w:kern w:val="0"/>
          <w:sz w:val="22"/>
          <w:szCs w:val="22"/>
          <w:lang w:val="pl"/>
        </w:rPr>
        <w:t xml:space="preserve"> </w:t>
      </w:r>
    </w:p>
    <w:bookmarkEnd w:id="5"/>
    <w:p w14:paraId="31D8B7A6" w14:textId="77777777" w:rsidR="004A6B7B" w:rsidRPr="00BF17FE" w:rsidRDefault="00060075" w:rsidP="00BF17FE">
      <w:pPr>
        <w:spacing w:after="160" w:line="259" w:lineRule="auto"/>
        <w:jc w:val="both"/>
        <w:rPr>
          <w:rFonts w:eastAsia="Calibri" w:cs="Calibri"/>
          <w:b/>
          <w:bCs/>
          <w:kern w:val="0"/>
          <w:sz w:val="22"/>
          <w:szCs w:val="22"/>
          <w:u w:val="single"/>
          <w:lang w:val="pl-PL" w:eastAsia="en-US"/>
        </w:rPr>
      </w:pPr>
      <w:r w:rsidRPr="002E58C6">
        <w:rPr>
          <w:b/>
          <w:kern w:val="0"/>
          <w:sz w:val="22"/>
          <w:szCs w:val="22"/>
          <w:u w:val="single"/>
          <w:lang w:val="pl"/>
        </w:rPr>
        <w:t>Brojlerów</w:t>
      </w:r>
    </w:p>
    <w:p w14:paraId="620A1C91" w14:textId="7F0819BA" w:rsidR="004A6B7B" w:rsidRPr="002E58C6" w:rsidRDefault="00060075" w:rsidP="00BF17FE">
      <w:pPr>
        <w:spacing w:after="160" w:line="259" w:lineRule="auto"/>
        <w:jc w:val="both"/>
        <w:rPr>
          <w:rFonts w:eastAsia="Calibri" w:cs="Calibri"/>
          <w:kern w:val="0"/>
          <w:sz w:val="22"/>
          <w:szCs w:val="22"/>
          <w:lang w:val="en-GB" w:eastAsia="en-US"/>
        </w:rPr>
      </w:pPr>
      <w:r w:rsidRPr="002E58C6">
        <w:rPr>
          <w:kern w:val="0"/>
          <w:sz w:val="22"/>
          <w:szCs w:val="22"/>
          <w:lang w:val="pl"/>
        </w:rPr>
        <w:t xml:space="preserve">Na rynku brojlerów rolnicy cieszą </w:t>
      </w:r>
      <w:r w:rsidR="00A675E8">
        <w:rPr>
          <w:kern w:val="0"/>
          <w:sz w:val="22"/>
          <w:szCs w:val="22"/>
          <w:lang w:val="pl"/>
        </w:rPr>
        <w:t xml:space="preserve"> się</w:t>
      </w:r>
      <w:r>
        <w:rPr>
          <w:lang w:val="pl"/>
        </w:rPr>
        <w:t xml:space="preserve"> z </w:t>
      </w:r>
      <w:r w:rsidR="00A675E8">
        <w:rPr>
          <w:kern w:val="0"/>
          <w:sz w:val="22"/>
          <w:szCs w:val="22"/>
          <w:lang w:val="pl"/>
        </w:rPr>
        <w:t>rozwoju</w:t>
      </w:r>
      <w:r>
        <w:rPr>
          <w:lang w:val="pl"/>
        </w:rPr>
        <w:t xml:space="preserve"> </w:t>
      </w:r>
      <w:r w:rsidRPr="002E58C6">
        <w:rPr>
          <w:kern w:val="0"/>
          <w:sz w:val="22"/>
          <w:szCs w:val="22"/>
          <w:lang w:val="pl"/>
        </w:rPr>
        <w:t xml:space="preserve"> w kierunku wyższych standardów dobrostanu. Jednocześnie w UE mamy już najwyższe standardy dobrostanu zwierząt na świecie i znacznie wyższe niż drób w krajach, z których pochodzi większość naszego importu - a mianowicie w Brazylii, Tajlandii, Chinach i na Ukrainie. Większość importu to kawałki o wysokiej wartości, np. pierś z kurczaka i są często wykorzystywane w sektorze </w:t>
      </w:r>
      <w:proofErr w:type="spellStart"/>
      <w:r w:rsidRPr="002E58C6">
        <w:rPr>
          <w:kern w:val="0"/>
          <w:sz w:val="22"/>
          <w:szCs w:val="22"/>
          <w:lang w:val="pl"/>
        </w:rPr>
        <w:t>HoReCa</w:t>
      </w:r>
      <w:proofErr w:type="spellEnd"/>
      <w:r w:rsidRPr="002E58C6">
        <w:rPr>
          <w:kern w:val="0"/>
          <w:sz w:val="22"/>
          <w:szCs w:val="22"/>
          <w:lang w:val="pl"/>
        </w:rPr>
        <w:t xml:space="preserve"> lub przemyśle przetwórczym. Powoduje to tendencję spadkową </w:t>
      </w:r>
      <w:r>
        <w:rPr>
          <w:lang w:val="pl"/>
        </w:rPr>
        <w:t xml:space="preserve">  </w:t>
      </w:r>
      <w:r w:rsidRPr="002E58C6">
        <w:rPr>
          <w:kern w:val="0"/>
          <w:sz w:val="22"/>
          <w:szCs w:val="22"/>
          <w:lang w:val="pl"/>
        </w:rPr>
        <w:t xml:space="preserve"> naszych cen, utrudniając rolnikom uzyskanie zwrotu z inwestycji w dobrostan zwierząt. Oczekujemy, że </w:t>
      </w:r>
      <w:proofErr w:type="spellStart"/>
      <w:r w:rsidRPr="002E58C6">
        <w:rPr>
          <w:kern w:val="0"/>
          <w:sz w:val="22"/>
          <w:szCs w:val="22"/>
          <w:lang w:val="pl"/>
        </w:rPr>
        <w:t>ue</w:t>
      </w:r>
      <w:proofErr w:type="spellEnd"/>
      <w:r w:rsidRPr="002E58C6">
        <w:rPr>
          <w:kern w:val="0"/>
          <w:sz w:val="22"/>
          <w:szCs w:val="22"/>
          <w:lang w:val="pl"/>
        </w:rPr>
        <w:t xml:space="preserve"> </w:t>
      </w:r>
      <w:r>
        <w:rPr>
          <w:lang w:val="pl"/>
        </w:rPr>
        <w:t xml:space="preserve"> </w:t>
      </w:r>
      <w:proofErr w:type="spellStart"/>
      <w:r w:rsidR="00A675E8">
        <w:rPr>
          <w:kern w:val="0"/>
          <w:sz w:val="22"/>
          <w:szCs w:val="22"/>
          <w:lang w:val="pl"/>
        </w:rPr>
        <w:t>i</w:t>
      </w:r>
      <w:r w:rsidRPr="002E58C6">
        <w:rPr>
          <w:kern w:val="0"/>
          <w:sz w:val="22"/>
          <w:szCs w:val="22"/>
          <w:lang w:val="pl"/>
        </w:rPr>
        <w:t>instytucje</w:t>
      </w:r>
      <w:proofErr w:type="spellEnd"/>
      <w:r w:rsidRPr="002E58C6">
        <w:rPr>
          <w:kern w:val="0"/>
          <w:sz w:val="22"/>
          <w:szCs w:val="22"/>
          <w:lang w:val="pl"/>
        </w:rPr>
        <w:t xml:space="preserve"> </w:t>
      </w:r>
      <w:proofErr w:type="spellStart"/>
      <w:r w:rsidRPr="002E58C6">
        <w:rPr>
          <w:kern w:val="0"/>
          <w:sz w:val="22"/>
          <w:szCs w:val="22"/>
          <w:lang w:val="pl"/>
        </w:rPr>
        <w:t>zagoserwują</w:t>
      </w:r>
      <w:proofErr w:type="spellEnd"/>
      <w:r w:rsidRPr="002E58C6">
        <w:rPr>
          <w:kern w:val="0"/>
          <w:sz w:val="22"/>
          <w:szCs w:val="22"/>
          <w:lang w:val="pl"/>
        </w:rPr>
        <w:t>, że handel międzynarodowy będzie sprawiedliwy,</w:t>
      </w:r>
      <w:r>
        <w:rPr>
          <w:lang w:val="pl"/>
        </w:rPr>
        <w:t xml:space="preserve"> zrównoważony</w:t>
      </w:r>
      <w:r w:rsidRPr="002E58C6">
        <w:rPr>
          <w:kern w:val="0"/>
          <w:sz w:val="22"/>
          <w:szCs w:val="22"/>
          <w:lang w:val="pl"/>
        </w:rPr>
        <w:t xml:space="preserve"> i przejrzysty. Spójność między politykami UE ma ogromne znaczenie. </w:t>
      </w:r>
    </w:p>
    <w:p w14:paraId="38F6C888" w14:textId="77777777" w:rsidR="004A6B7B" w:rsidRPr="00BF17FE" w:rsidRDefault="00060075" w:rsidP="00BF17FE">
      <w:pPr>
        <w:spacing w:after="160" w:line="259" w:lineRule="auto"/>
        <w:jc w:val="both"/>
        <w:rPr>
          <w:rFonts w:eastAsia="Calibri" w:cs="Calibri"/>
          <w:kern w:val="0"/>
          <w:sz w:val="22"/>
          <w:szCs w:val="22"/>
          <w:lang w:val="pl-PL" w:eastAsia="en-US"/>
        </w:rPr>
      </w:pPr>
      <w:r w:rsidRPr="002E58C6">
        <w:rPr>
          <w:kern w:val="0"/>
          <w:sz w:val="22"/>
          <w:szCs w:val="22"/>
          <w:lang w:val="pl"/>
        </w:rPr>
        <w:t xml:space="preserve">Obecne prawodawstwo europejskie ogranicza obsadę w produkcji mięsa drobiowego do 33 kg/m2. Dzięki odstępstwu i dodatkowym wymogom gęstość ta może zostać zwiększona do 39 lub 42 kg/m2. Dane z 2017 r. pokazują, że 34 % europejskich brojlerów jest utrzymywanych w zagęszczeniu do 33 kg/m2, a tylko 26 % producentów w pełni korzysta z odstępstwa w odniesieniu do większych zagęszczeń. Wielu SM i rolników zdecydowało się trzymać brojlery w niższych gęstościach, chociaż przestrzegają wszystkich warunków, które pozwoliłyby im utrzymać brojlery w wyższych gęstościach. </w:t>
      </w:r>
      <w:r w:rsidRPr="002E58C6">
        <w:rPr>
          <w:kern w:val="0"/>
          <w:sz w:val="22"/>
          <w:szCs w:val="22"/>
          <w:vertAlign w:val="superscript"/>
          <w:lang w:val="pl"/>
        </w:rPr>
        <w:footnoteReference w:id="6"/>
      </w:r>
    </w:p>
    <w:p w14:paraId="6E77EBC9" w14:textId="4FC40B77" w:rsidR="004A6B7B" w:rsidRPr="00BF17FE" w:rsidRDefault="00060075" w:rsidP="00BF17FE">
      <w:pPr>
        <w:spacing w:after="160" w:line="259" w:lineRule="auto"/>
        <w:jc w:val="both"/>
        <w:rPr>
          <w:rFonts w:eastAsia="Calibri" w:cs="Calibri"/>
          <w:kern w:val="0"/>
          <w:sz w:val="22"/>
          <w:szCs w:val="22"/>
          <w:lang w:val="pl-PL" w:eastAsia="en-US"/>
        </w:rPr>
      </w:pPr>
      <w:r w:rsidRPr="002E58C6">
        <w:rPr>
          <w:kern w:val="0"/>
          <w:sz w:val="22"/>
          <w:szCs w:val="22"/>
          <w:lang w:val="pl"/>
        </w:rPr>
        <w:t xml:space="preserve">Aby zachęcić rolników i ich spółdzielnie do podejmowania dalszych kroków, sektor z zadowoleniem przyjąłby dalsze wsparcie ze strony polityk UE (np. WPR) oraz inne wsparcie inwestycyjne, które mogłoby pomóc rolnikom w zwiększeniu dobrostanu zwierząt i zrównoważonego charakteru ich produkcji. Ponadto wzywamy państwo członkowskie do </w:t>
      </w:r>
      <w:r w:rsidR="007D2A65">
        <w:rPr>
          <w:kern w:val="0"/>
          <w:sz w:val="22"/>
          <w:szCs w:val="22"/>
          <w:lang w:val="pl"/>
        </w:rPr>
        <w:lastRenderedPageBreak/>
        <w:t xml:space="preserve">jasnego </w:t>
      </w:r>
      <w:r>
        <w:rPr>
          <w:lang w:val="pl"/>
        </w:rPr>
        <w:t xml:space="preserve"> </w:t>
      </w:r>
      <w:r w:rsidRPr="002E58C6">
        <w:rPr>
          <w:kern w:val="0"/>
          <w:sz w:val="22"/>
          <w:szCs w:val="22"/>
          <w:lang w:val="pl"/>
        </w:rPr>
        <w:t xml:space="preserve">oznaczania pochodzenia na wszystkich szczeblach, w tym w przemyśle przetwórczym i sektorze </w:t>
      </w:r>
      <w:proofErr w:type="spellStart"/>
      <w:r w:rsidRPr="002E58C6">
        <w:rPr>
          <w:kern w:val="0"/>
          <w:sz w:val="22"/>
          <w:szCs w:val="22"/>
          <w:lang w:val="pl"/>
        </w:rPr>
        <w:t>HoReCa</w:t>
      </w:r>
      <w:proofErr w:type="spellEnd"/>
      <w:r w:rsidRPr="002E58C6">
        <w:rPr>
          <w:kern w:val="0"/>
          <w:sz w:val="22"/>
          <w:szCs w:val="22"/>
          <w:lang w:val="pl"/>
        </w:rPr>
        <w:t>.</w:t>
      </w:r>
      <w:r>
        <w:rPr>
          <w:lang w:val="pl"/>
        </w:rPr>
        <w:t xml:space="preserve"> </w:t>
      </w:r>
      <w:proofErr w:type="spellStart"/>
      <w:r w:rsidR="00B80717">
        <w:rPr>
          <w:kern w:val="0"/>
          <w:sz w:val="22"/>
          <w:szCs w:val="22"/>
          <w:lang w:val="pl"/>
        </w:rPr>
        <w:t>O</w:t>
      </w:r>
      <w:r w:rsidRPr="002E58C6">
        <w:rPr>
          <w:kern w:val="0"/>
          <w:sz w:val="22"/>
          <w:szCs w:val="22"/>
          <w:lang w:val="pl"/>
        </w:rPr>
        <w:t>wasze</w:t>
      </w:r>
      <w:proofErr w:type="spellEnd"/>
      <w:r w:rsidRPr="002E58C6">
        <w:rPr>
          <w:kern w:val="0"/>
          <w:sz w:val="22"/>
          <w:szCs w:val="22"/>
          <w:lang w:val="pl"/>
        </w:rPr>
        <w:t xml:space="preserve"> wysiłki podejmowane przy użyciu produktów przeciwdrobnoustrojowych i dobrostan zwierząt </w:t>
      </w:r>
      <w:r>
        <w:rPr>
          <w:lang w:val="pl"/>
        </w:rPr>
        <w:t xml:space="preserve">muszą być </w:t>
      </w:r>
      <w:r w:rsidR="00B80717">
        <w:rPr>
          <w:kern w:val="0"/>
          <w:sz w:val="22"/>
          <w:szCs w:val="22"/>
          <w:lang w:val="pl"/>
        </w:rPr>
        <w:t>również</w:t>
      </w:r>
      <w:r>
        <w:rPr>
          <w:lang w:val="pl"/>
        </w:rPr>
        <w:t xml:space="preserve"> </w:t>
      </w:r>
      <w:r w:rsidRPr="002E58C6">
        <w:rPr>
          <w:kern w:val="0"/>
          <w:sz w:val="22"/>
          <w:szCs w:val="22"/>
          <w:lang w:val="pl"/>
        </w:rPr>
        <w:t xml:space="preserve"> uznane w handlu z 3</w:t>
      </w:r>
      <w:r>
        <w:rPr>
          <w:lang w:val="pl"/>
        </w:rPr>
        <w:t xml:space="preserve"> </w:t>
      </w:r>
      <w:r w:rsidRPr="002E58C6">
        <w:rPr>
          <w:kern w:val="0"/>
          <w:sz w:val="22"/>
          <w:szCs w:val="22"/>
          <w:lang w:val="pl"/>
        </w:rPr>
        <w:t xml:space="preserve"> krajami.</w:t>
      </w:r>
    </w:p>
    <w:p w14:paraId="099D6AD2" w14:textId="3703E24F" w:rsidR="004A6B7B" w:rsidRPr="00BF17FE" w:rsidRDefault="00060075" w:rsidP="00BF17FE">
      <w:pPr>
        <w:spacing w:after="160" w:line="259" w:lineRule="auto"/>
        <w:jc w:val="both"/>
        <w:rPr>
          <w:rFonts w:eastAsia="Calibri" w:cs="Calibri"/>
          <w:kern w:val="0"/>
          <w:sz w:val="22"/>
          <w:szCs w:val="22"/>
          <w:lang w:val="pl-PL" w:eastAsia="en-US"/>
        </w:rPr>
      </w:pPr>
      <w:bookmarkStart w:id="6" w:name="_Hlk78413603"/>
      <w:proofErr w:type="spellStart"/>
      <w:r w:rsidRPr="00A675E8">
        <w:rPr>
          <w:kern w:val="0"/>
          <w:sz w:val="22"/>
          <w:szCs w:val="22"/>
          <w:lang w:val="pl"/>
        </w:rPr>
        <w:t>Copa-Cogeca</w:t>
      </w:r>
      <w:proofErr w:type="spellEnd"/>
      <w:r w:rsidR="00BF17FE">
        <w:rPr>
          <w:kern w:val="0"/>
          <w:sz w:val="22"/>
          <w:szCs w:val="22"/>
          <w:lang w:val="pl"/>
        </w:rPr>
        <w:t xml:space="preserve"> GR Drób i Jaja</w:t>
      </w:r>
      <w:r w:rsidRPr="00A675E8">
        <w:rPr>
          <w:kern w:val="0"/>
          <w:sz w:val="22"/>
          <w:szCs w:val="22"/>
          <w:lang w:val="pl"/>
        </w:rPr>
        <w:t xml:space="preserve"> uważa, że sektor zmierza we właściwym kierunku. Wspieramy wszystkie inicjatywy, wsparcie inwestycyjne i inne narzędzia, które zapewniają rolnikom doładowanie rynku i pomagają nam przyczyniać się do zrównoważonego rozwoju i dążenia do jeszcze wyższych standardów rynkowych wykraczających poza obecne przepisy. Wzywamy do dobrowolnego, praktycznego i zorientowanego na rynek podejścia. </w:t>
      </w:r>
    </w:p>
    <w:bookmarkEnd w:id="6"/>
    <w:p w14:paraId="7717A3DF" w14:textId="77777777" w:rsidR="004A6B7B" w:rsidRPr="00BF17FE" w:rsidRDefault="00060075" w:rsidP="00BF17FE">
      <w:pPr>
        <w:spacing w:after="160" w:line="259" w:lineRule="auto"/>
        <w:jc w:val="both"/>
        <w:rPr>
          <w:rFonts w:eastAsia="Calibri" w:cs="Calibri"/>
          <w:b/>
          <w:bCs/>
          <w:kern w:val="0"/>
          <w:sz w:val="22"/>
          <w:szCs w:val="22"/>
          <w:u w:val="single"/>
          <w:lang w:val="pl-PL" w:eastAsia="en-US"/>
        </w:rPr>
      </w:pPr>
      <w:r w:rsidRPr="002E58C6">
        <w:rPr>
          <w:b/>
          <w:kern w:val="0"/>
          <w:sz w:val="22"/>
          <w:szCs w:val="22"/>
          <w:u w:val="single"/>
          <w:lang w:val="pl"/>
        </w:rPr>
        <w:t xml:space="preserve">Indyków </w:t>
      </w:r>
    </w:p>
    <w:p w14:paraId="12FFA3F5" w14:textId="14BC9166" w:rsidR="00A675E8" w:rsidRPr="00BF17FE" w:rsidRDefault="00B80717" w:rsidP="00BF17FE">
      <w:pPr>
        <w:spacing w:after="160" w:line="259" w:lineRule="auto"/>
        <w:jc w:val="both"/>
        <w:rPr>
          <w:rFonts w:cs="Arial"/>
          <w:sz w:val="22"/>
          <w:szCs w:val="22"/>
          <w:lang w:val="pl-PL"/>
        </w:rPr>
      </w:pPr>
      <w:r w:rsidRPr="002E58C6">
        <w:rPr>
          <w:kern w:val="0"/>
          <w:sz w:val="22"/>
          <w:szCs w:val="22"/>
          <w:lang w:val="pl"/>
        </w:rPr>
        <w:t xml:space="preserve">Największą część europejskiej produkcji indyków pokrywa sześć państw członkowskich z wieloletnią tradycją przechowywania indyków. Europejska </w:t>
      </w:r>
      <w:r w:rsidR="004D4463">
        <w:rPr>
          <w:kern w:val="0"/>
          <w:sz w:val="22"/>
          <w:szCs w:val="22"/>
          <w:lang w:val="pl"/>
        </w:rPr>
        <w:t xml:space="preserve">produkcja </w:t>
      </w:r>
      <w:r>
        <w:rPr>
          <w:lang w:val="pl"/>
        </w:rPr>
        <w:t xml:space="preserve">indyków </w:t>
      </w:r>
      <w:r w:rsidR="00060075" w:rsidRPr="002E58C6">
        <w:rPr>
          <w:kern w:val="0"/>
          <w:sz w:val="22"/>
          <w:szCs w:val="22"/>
          <w:lang w:val="pl"/>
        </w:rPr>
        <w:t xml:space="preserve">nieznacznie </w:t>
      </w:r>
      <w:proofErr w:type="spellStart"/>
      <w:r w:rsidR="00060075" w:rsidRPr="002E58C6">
        <w:rPr>
          <w:kern w:val="0"/>
          <w:sz w:val="22"/>
          <w:szCs w:val="22"/>
          <w:lang w:val="pl"/>
        </w:rPr>
        <w:t>wzrosła</w:t>
      </w:r>
      <w:r w:rsidR="004D4463">
        <w:rPr>
          <w:kern w:val="0"/>
          <w:sz w:val="22"/>
          <w:szCs w:val="22"/>
          <w:lang w:val="pl"/>
        </w:rPr>
        <w:t>w</w:t>
      </w:r>
      <w:proofErr w:type="spellEnd"/>
      <w:r>
        <w:rPr>
          <w:lang w:val="pl"/>
        </w:rPr>
        <w:t xml:space="preserve"> </w:t>
      </w:r>
      <w:r w:rsidR="00060075" w:rsidRPr="002E58C6">
        <w:rPr>
          <w:kern w:val="0"/>
          <w:sz w:val="22"/>
          <w:szCs w:val="22"/>
          <w:lang w:val="pl"/>
        </w:rPr>
        <w:t xml:space="preserve"> ostatnich latach.</w:t>
      </w:r>
      <w:r w:rsidR="00060075" w:rsidRPr="002E58C6">
        <w:rPr>
          <w:rStyle w:val="Odwoanieprzypisudolnego"/>
          <w:kern w:val="0"/>
          <w:sz w:val="22"/>
          <w:szCs w:val="22"/>
          <w:lang w:val="pl"/>
        </w:rPr>
        <w:footnoteReference w:id="7"/>
      </w:r>
    </w:p>
    <w:p w14:paraId="2F8B6C8C" w14:textId="541772E5" w:rsidR="007A0015" w:rsidRPr="00BF17FE" w:rsidRDefault="007A0015" w:rsidP="00BF17FE">
      <w:pPr>
        <w:spacing w:line="276" w:lineRule="auto"/>
        <w:jc w:val="both"/>
        <w:rPr>
          <w:rFonts w:cs="Arial"/>
          <w:sz w:val="22"/>
          <w:szCs w:val="22"/>
          <w:lang w:val="pl-PL"/>
        </w:rPr>
      </w:pPr>
      <w:bookmarkStart w:id="7" w:name="_Hlk78413893"/>
      <w:proofErr w:type="spellStart"/>
      <w:r w:rsidRPr="00A675E8">
        <w:rPr>
          <w:sz w:val="22"/>
          <w:szCs w:val="22"/>
          <w:lang w:val="pl"/>
        </w:rPr>
        <w:t>Copa-Cogeca</w:t>
      </w:r>
      <w:proofErr w:type="spellEnd"/>
      <w:r w:rsidR="00BF17FE">
        <w:rPr>
          <w:sz w:val="22"/>
          <w:szCs w:val="22"/>
          <w:lang w:val="pl"/>
        </w:rPr>
        <w:t xml:space="preserve"> GR Drób i Jaja</w:t>
      </w:r>
      <w:r w:rsidRPr="00A675E8">
        <w:rPr>
          <w:sz w:val="22"/>
          <w:szCs w:val="22"/>
          <w:lang w:val="pl"/>
        </w:rPr>
        <w:t xml:space="preserve"> uważa, że sektor działa i rozwija się zgodnie z podejściem rynkowym i popytem, co nie zawsze było łatwe, ponieważ sektor indyków został poważnie dotknięty kryzysem Covid-19, a także ptasią grypą. Produkcja odbywa się głównie w ograniczonej liczbie państw członkowskich o długiej tradycji i stanowi istotną wartość dodaną dla społeczności wiejskich. Nie istnieje wspólne europejskie prawodawstwo dotyczące dobrostanu indyków, jednak istnieje wiele inicjatyw prywatnych ("Inicjatywa </w:t>
      </w:r>
      <w:proofErr w:type="spellStart"/>
      <w:r w:rsidRPr="00A675E8">
        <w:rPr>
          <w:sz w:val="22"/>
          <w:szCs w:val="22"/>
          <w:lang w:val="pl"/>
        </w:rPr>
        <w:t>Tierwohl</w:t>
      </w:r>
      <w:proofErr w:type="spellEnd"/>
      <w:r w:rsidRPr="00A675E8">
        <w:rPr>
          <w:sz w:val="22"/>
          <w:szCs w:val="22"/>
          <w:lang w:val="pl"/>
        </w:rPr>
        <w:t>" w Niemczech i "</w:t>
      </w:r>
      <w:proofErr w:type="spellStart"/>
      <w:r w:rsidRPr="00A675E8">
        <w:rPr>
          <w:sz w:val="22"/>
          <w:szCs w:val="22"/>
          <w:lang w:val="pl"/>
        </w:rPr>
        <w:t>Beter</w:t>
      </w:r>
      <w:proofErr w:type="spellEnd"/>
      <w:r w:rsidRPr="00A675E8">
        <w:rPr>
          <w:sz w:val="22"/>
          <w:szCs w:val="22"/>
          <w:lang w:val="pl"/>
        </w:rPr>
        <w:t xml:space="preserve"> </w:t>
      </w:r>
      <w:proofErr w:type="spellStart"/>
      <w:r w:rsidRPr="00A675E8">
        <w:rPr>
          <w:sz w:val="22"/>
          <w:szCs w:val="22"/>
          <w:lang w:val="pl"/>
        </w:rPr>
        <w:t>Leven</w:t>
      </w:r>
      <w:proofErr w:type="spellEnd"/>
      <w:r w:rsidRPr="00A675E8">
        <w:rPr>
          <w:sz w:val="22"/>
          <w:szCs w:val="22"/>
          <w:lang w:val="pl"/>
        </w:rPr>
        <w:t xml:space="preserve">" w Holandii), które podkreślają pracę, jaką rolnicy już wykonywali w ostatnich latach. Niektóre państwa członkowskie podjęły już inicjatywę i zaproponowały własne minimalne standardy dobrostanu. </w:t>
      </w:r>
    </w:p>
    <w:p w14:paraId="463C35C3" w14:textId="77777777" w:rsidR="007A0015" w:rsidRPr="00BF17FE" w:rsidRDefault="007A0015" w:rsidP="00BF17FE">
      <w:pPr>
        <w:spacing w:line="276" w:lineRule="auto"/>
        <w:jc w:val="both"/>
        <w:rPr>
          <w:rFonts w:cs="Arial"/>
          <w:sz w:val="22"/>
          <w:szCs w:val="22"/>
          <w:lang w:val="pl-PL"/>
        </w:rPr>
      </w:pPr>
    </w:p>
    <w:p w14:paraId="6EAB5538" w14:textId="77777777" w:rsidR="007A0015" w:rsidRPr="00BF17FE" w:rsidRDefault="007A0015" w:rsidP="00BF17FE">
      <w:pPr>
        <w:spacing w:line="276" w:lineRule="auto"/>
        <w:jc w:val="both"/>
        <w:rPr>
          <w:rFonts w:eastAsia="Calibri" w:cs="Calibri"/>
          <w:color w:val="538135"/>
          <w:kern w:val="0"/>
          <w:sz w:val="22"/>
          <w:szCs w:val="22"/>
          <w:lang w:val="pl-PL" w:eastAsia="en-US"/>
        </w:rPr>
      </w:pPr>
      <w:r w:rsidRPr="00A675E8">
        <w:rPr>
          <w:sz w:val="22"/>
          <w:szCs w:val="22"/>
          <w:lang w:val="pl"/>
        </w:rPr>
        <w:t>Europejscy hodowcy indyków są przygotowani do dalszego podnoszenia standardów zgodnie z podejściem rynkowym. Debata musi jednak opierać się na nauce i musi uwzględniać już istniejące wysiłki i inicjatywy w terenie. Musimy również przewidywać i informować o wzroście kosztów produkcji, który będzie wynikał z jakiegokolwiek wzrostu dobrostanu zwierząt, a zatem potrzebujemy kompleksowej oceny skutków.</w:t>
      </w:r>
    </w:p>
    <w:p w14:paraId="750F207C" w14:textId="31C1B0E0" w:rsidR="00093F57" w:rsidRPr="00BF17FE" w:rsidRDefault="007A0015" w:rsidP="00BF17FE">
      <w:pPr>
        <w:spacing w:line="276" w:lineRule="auto"/>
        <w:jc w:val="both"/>
        <w:rPr>
          <w:rFonts w:eastAsia="Calibri" w:cs="Calibri"/>
          <w:color w:val="538135"/>
          <w:kern w:val="0"/>
          <w:sz w:val="22"/>
          <w:szCs w:val="22"/>
          <w:lang w:val="pl-PL" w:eastAsia="en-US"/>
        </w:rPr>
      </w:pPr>
      <w:r w:rsidRPr="00BF17FE">
        <w:rPr>
          <w:rFonts w:eastAsia="Calibri" w:cs="Calibri"/>
          <w:color w:val="538135"/>
          <w:kern w:val="0"/>
          <w:sz w:val="22"/>
          <w:szCs w:val="22"/>
          <w:lang w:val="pl-PL" w:eastAsia="en-US"/>
        </w:rPr>
        <w:t xml:space="preserve"> </w:t>
      </w:r>
    </w:p>
    <w:bookmarkEnd w:id="7"/>
    <w:p w14:paraId="178CDCD4" w14:textId="77777777" w:rsidR="004A6B7B" w:rsidRPr="002E58C6" w:rsidRDefault="00060075" w:rsidP="00BF17FE">
      <w:pPr>
        <w:keepNext/>
        <w:keepLines/>
        <w:spacing w:after="160" w:line="259" w:lineRule="auto"/>
        <w:jc w:val="both"/>
        <w:rPr>
          <w:rFonts w:eastAsia="Calibri" w:cs="Calibri"/>
          <w:b/>
          <w:bCs/>
          <w:kern w:val="0"/>
          <w:sz w:val="22"/>
          <w:szCs w:val="22"/>
          <w:u w:val="single"/>
          <w:lang w:val="en-GB" w:eastAsia="en-US"/>
        </w:rPr>
      </w:pPr>
      <w:r w:rsidRPr="002E58C6">
        <w:rPr>
          <w:b/>
          <w:kern w:val="0"/>
          <w:sz w:val="22"/>
          <w:szCs w:val="22"/>
          <w:u w:val="single"/>
          <w:lang w:val="pl"/>
        </w:rPr>
        <w:t>Króliki</w:t>
      </w:r>
    </w:p>
    <w:p w14:paraId="120061B9" w14:textId="4054AADF" w:rsidR="004A6B7B" w:rsidRPr="00BF17FE" w:rsidRDefault="00060075" w:rsidP="00BF17FE">
      <w:pPr>
        <w:spacing w:after="160" w:line="259" w:lineRule="auto"/>
        <w:jc w:val="both"/>
        <w:rPr>
          <w:rFonts w:eastAsia="Calibri" w:cs="Calibri"/>
          <w:kern w:val="0"/>
          <w:sz w:val="22"/>
          <w:szCs w:val="22"/>
          <w:lang w:val="pl-PL" w:eastAsia="en-US"/>
        </w:rPr>
      </w:pPr>
      <w:r w:rsidRPr="002E58C6">
        <w:rPr>
          <w:kern w:val="0"/>
          <w:sz w:val="22"/>
          <w:szCs w:val="22"/>
          <w:lang w:val="pl"/>
        </w:rPr>
        <w:t>Króliki zawsze były tradycyjną częścią europejskiej diety i nadal odgrywają ważną rolę w wielu kuchniach regionalnych. Jest to</w:t>
      </w:r>
      <w:bookmarkStart w:id="8" w:name="_Hlk74349561"/>
      <w:r w:rsidR="00AE5053">
        <w:rPr>
          <w:kern w:val="0"/>
          <w:sz w:val="22"/>
          <w:szCs w:val="22"/>
          <w:lang w:val="pl"/>
        </w:rPr>
        <w:t xml:space="preserve"> </w:t>
      </w:r>
      <w:r w:rsidR="00B80717">
        <w:rPr>
          <w:kern w:val="0"/>
          <w:sz w:val="22"/>
          <w:szCs w:val="22"/>
          <w:lang w:val="pl"/>
        </w:rPr>
        <w:t>wysokiej</w:t>
      </w:r>
      <w:r w:rsidR="00AE5053">
        <w:rPr>
          <w:kern w:val="0"/>
          <w:sz w:val="22"/>
          <w:szCs w:val="22"/>
          <w:lang w:val="pl"/>
        </w:rPr>
        <w:t xml:space="preserve"> </w:t>
      </w:r>
      <w:r w:rsidRPr="002E58C6">
        <w:rPr>
          <w:kern w:val="0"/>
          <w:sz w:val="22"/>
          <w:szCs w:val="22"/>
          <w:lang w:val="pl"/>
        </w:rPr>
        <w:t>jakości, zdrowe źródło chudego białka, które jest produkowane w ponad 4500 komercyjnych gospodarstwach w UE. Europejska produkcja królików w ostatnich latach znacznie spada, a dodatkowo mocno ucierpiała</w:t>
      </w:r>
      <w:bookmarkEnd w:id="8"/>
      <w:r w:rsidR="00B80717">
        <w:rPr>
          <w:kern w:val="0"/>
          <w:sz w:val="22"/>
          <w:szCs w:val="22"/>
          <w:lang w:val="pl"/>
        </w:rPr>
        <w:t xml:space="preserve"> </w:t>
      </w:r>
      <w:r>
        <w:rPr>
          <w:lang w:val="pl"/>
        </w:rPr>
        <w:t xml:space="preserve">z powodu zamknięcia </w:t>
      </w:r>
      <w:r w:rsidRPr="002E58C6">
        <w:rPr>
          <w:kern w:val="0"/>
          <w:sz w:val="22"/>
          <w:szCs w:val="22"/>
          <w:lang w:val="pl"/>
        </w:rPr>
        <w:t xml:space="preserve">sektora </w:t>
      </w:r>
      <w:proofErr w:type="spellStart"/>
      <w:r w:rsidRPr="002E58C6">
        <w:rPr>
          <w:kern w:val="0"/>
          <w:sz w:val="22"/>
          <w:szCs w:val="22"/>
          <w:lang w:val="pl"/>
        </w:rPr>
        <w:t>HoReCa</w:t>
      </w:r>
      <w:proofErr w:type="spellEnd"/>
      <w:r w:rsidRPr="002E58C6">
        <w:rPr>
          <w:kern w:val="0"/>
          <w:sz w:val="22"/>
          <w:szCs w:val="22"/>
          <w:lang w:val="pl"/>
        </w:rPr>
        <w:t xml:space="preserve"> w latach 2020/2021. Produkcja jest skoncentrowana w kilku państwach członkowskich i odgrywa ważną rolę w utrzymaniu społeczności wiejskich i wspieraniu lokalnej gospodarki. </w:t>
      </w:r>
      <w:bookmarkStart w:id="9" w:name="_Hlk74349683"/>
    </w:p>
    <w:bookmarkEnd w:id="9"/>
    <w:p w14:paraId="70D88A05" w14:textId="0B2BFD30" w:rsidR="00963AE9" w:rsidRPr="00BF17FE" w:rsidRDefault="00060075" w:rsidP="00BF17FE">
      <w:pPr>
        <w:spacing w:after="160" w:line="259" w:lineRule="auto"/>
        <w:jc w:val="both"/>
        <w:rPr>
          <w:rFonts w:cs="Arial"/>
          <w:b/>
          <w:bCs/>
          <w:sz w:val="22"/>
          <w:szCs w:val="22"/>
          <w:lang w:val="pl-PL"/>
        </w:rPr>
      </w:pPr>
      <w:r w:rsidRPr="002E58C6">
        <w:rPr>
          <w:kern w:val="0"/>
          <w:sz w:val="22"/>
          <w:szCs w:val="22"/>
          <w:lang w:val="pl"/>
        </w:rPr>
        <w:t>Rolnicy i spółdzielnie rolnicze inwestowali w przeszłości w poprawę standardów dla każdego rodzaju</w:t>
      </w:r>
      <w:r w:rsidR="00AE5053">
        <w:rPr>
          <w:kern w:val="0"/>
          <w:sz w:val="22"/>
          <w:szCs w:val="22"/>
          <w:lang w:val="pl"/>
        </w:rPr>
        <w:t xml:space="preserve"> </w:t>
      </w:r>
      <w:r w:rsidR="00A675E8">
        <w:rPr>
          <w:kern w:val="0"/>
          <w:sz w:val="22"/>
          <w:szCs w:val="22"/>
          <w:lang w:val="pl"/>
        </w:rPr>
        <w:t xml:space="preserve">produktu. Ponadto w niektórych państwach członkowskich UE szerokie zaangażowanie producentów w poprawę dobrostanu zwierząt można również podkreślić poprzez opracowanie prywatnych certyfikatów dobrostanu lub dołączenie do prywatnych inicjatyw w zakresie dobrostanu zwierząt. </w:t>
      </w:r>
      <w:proofErr w:type="spellStart"/>
      <w:r w:rsidR="00A675E8">
        <w:rPr>
          <w:kern w:val="0"/>
          <w:sz w:val="22"/>
          <w:szCs w:val="22"/>
          <w:lang w:val="pl"/>
        </w:rPr>
        <w:t>Są</w:t>
      </w:r>
      <w:r w:rsidRPr="002E58C6">
        <w:rPr>
          <w:kern w:val="0"/>
          <w:sz w:val="22"/>
          <w:szCs w:val="22"/>
          <w:lang w:val="pl"/>
        </w:rPr>
        <w:t>gotowi</w:t>
      </w:r>
      <w:proofErr w:type="spellEnd"/>
      <w:r w:rsidRPr="002E58C6">
        <w:rPr>
          <w:kern w:val="0"/>
          <w:sz w:val="22"/>
          <w:szCs w:val="22"/>
          <w:lang w:val="pl"/>
        </w:rPr>
        <w:t xml:space="preserve"> dostosować się do popytu konsumentów, jeśli nastąpi zwrot z inwestycji. Produkcja królików może stać się pozytywną częścią przyszłości zwierząt gospodarskich w kontekście strategii "od pola do stołu", zwłaszcza biorąc </w:t>
      </w:r>
      <w:r w:rsidRPr="002E58C6">
        <w:rPr>
          <w:kern w:val="0"/>
          <w:sz w:val="22"/>
          <w:szCs w:val="22"/>
          <w:lang w:val="pl"/>
        </w:rPr>
        <w:lastRenderedPageBreak/>
        <w:t xml:space="preserve">pod uwagę dobrą konwersję białka paszowego na żywność, krajowe pochodzenie paszy i wykorzystanie produktów ubocznych, które w przeciwnym razie zostałyby zmarnowane. </w:t>
      </w:r>
      <w:bookmarkStart w:id="10" w:name="_Hlk74349711"/>
      <w:bookmarkEnd w:id="10"/>
    </w:p>
    <w:p w14:paraId="585D70ED" w14:textId="10CAADE6" w:rsidR="00165A20" w:rsidRPr="00BF17FE" w:rsidRDefault="00060075" w:rsidP="00BF17FE">
      <w:pPr>
        <w:spacing w:line="276" w:lineRule="auto"/>
        <w:jc w:val="both"/>
        <w:rPr>
          <w:rFonts w:eastAsia="Calibri" w:cs="Calibri"/>
          <w:kern w:val="0"/>
          <w:sz w:val="22"/>
          <w:szCs w:val="22"/>
          <w:lang w:val="pl-PL" w:eastAsia="en-US"/>
        </w:rPr>
      </w:pPr>
      <w:r w:rsidRPr="002E58C6">
        <w:rPr>
          <w:kern w:val="0"/>
          <w:sz w:val="22"/>
          <w:szCs w:val="22"/>
          <w:lang w:val="pl"/>
        </w:rPr>
        <w:t>Sektor ma jednak</w:t>
      </w:r>
      <w:r w:rsidR="00A675E8">
        <w:rPr>
          <w:kern w:val="0"/>
          <w:sz w:val="22"/>
          <w:szCs w:val="22"/>
          <w:lang w:val="pl"/>
        </w:rPr>
        <w:t xml:space="preserve"> duże </w:t>
      </w:r>
      <w:r>
        <w:rPr>
          <w:lang w:val="pl"/>
        </w:rPr>
        <w:t xml:space="preserve"> </w:t>
      </w:r>
      <w:r w:rsidRPr="002E58C6">
        <w:rPr>
          <w:kern w:val="0"/>
          <w:sz w:val="22"/>
          <w:szCs w:val="22"/>
          <w:lang w:val="pl"/>
        </w:rPr>
        <w:t>trudności z rozwojem produkcji na świeżym powietrzu lub podłóg ze względu na kwestie techniczne, sanitarne i dobrostan zwierząt. Każda reforma prawodawstwa wymagałaby opartej na nauce i dogłębnej oceny skutków.</w:t>
      </w:r>
      <w:r>
        <w:rPr>
          <w:lang w:val="pl"/>
        </w:rPr>
        <w:t xml:space="preserve"> </w:t>
      </w:r>
      <w:r w:rsidR="00B80717">
        <w:rPr>
          <w:kern w:val="0"/>
          <w:sz w:val="22"/>
          <w:szCs w:val="22"/>
          <w:lang w:val="pl"/>
        </w:rPr>
        <w:t xml:space="preserve">Chociaż nie znaleziono jeszcze żadnych komercyjnych rozwiązań, klatki do produkcji królików zostały </w:t>
      </w:r>
      <w:r>
        <w:rPr>
          <w:lang w:val="pl"/>
        </w:rPr>
        <w:t xml:space="preserve"> </w:t>
      </w:r>
      <w:r w:rsidR="00165A20">
        <w:rPr>
          <w:kern w:val="0"/>
          <w:sz w:val="22"/>
          <w:szCs w:val="22"/>
          <w:lang w:val="pl"/>
        </w:rPr>
        <w:t>zakazane</w:t>
      </w:r>
      <w:r>
        <w:rPr>
          <w:lang w:val="pl"/>
        </w:rPr>
        <w:t xml:space="preserve"> </w:t>
      </w:r>
      <w:r w:rsidR="00A675E8">
        <w:rPr>
          <w:kern w:val="0"/>
          <w:sz w:val="22"/>
          <w:szCs w:val="22"/>
          <w:lang w:val="pl"/>
        </w:rPr>
        <w:t xml:space="preserve"> w niektórych państwach członkowskich. Kraje te nie były w przeszłości głównymi producentami, a</w:t>
      </w:r>
      <w:r w:rsidR="00AE5053">
        <w:rPr>
          <w:kern w:val="0"/>
          <w:sz w:val="22"/>
          <w:szCs w:val="22"/>
          <w:lang w:val="pl"/>
        </w:rPr>
        <w:t xml:space="preserve"> </w:t>
      </w:r>
      <w:r>
        <w:rPr>
          <w:lang w:val="pl"/>
        </w:rPr>
        <w:t>po</w:t>
      </w:r>
      <w:r w:rsidR="00AE5053">
        <w:rPr>
          <w:lang w:val="pl"/>
        </w:rPr>
        <w:t xml:space="preserve"> </w:t>
      </w:r>
      <w:r w:rsidR="00A675E8">
        <w:rPr>
          <w:sz w:val="22"/>
          <w:szCs w:val="22"/>
          <w:lang w:val="pl"/>
        </w:rPr>
        <w:t xml:space="preserve">proponowanych </w:t>
      </w:r>
      <w:proofErr w:type="spellStart"/>
      <w:r w:rsidR="00A675E8">
        <w:rPr>
          <w:sz w:val="22"/>
          <w:szCs w:val="22"/>
          <w:lang w:val="pl"/>
        </w:rPr>
        <w:t>zawieszeniach</w:t>
      </w:r>
      <w:proofErr w:type="spellEnd"/>
      <w:r>
        <w:rPr>
          <w:lang w:val="pl"/>
        </w:rPr>
        <w:t xml:space="preserve"> </w:t>
      </w:r>
      <w:r w:rsidR="00165A20">
        <w:rPr>
          <w:sz w:val="22"/>
          <w:szCs w:val="22"/>
          <w:lang w:val="pl"/>
        </w:rPr>
        <w:t xml:space="preserve"> </w:t>
      </w:r>
      <w:r>
        <w:rPr>
          <w:lang w:val="pl"/>
        </w:rPr>
        <w:t xml:space="preserve"> nastąpił</w:t>
      </w:r>
      <w:r w:rsidR="00AE5053">
        <w:rPr>
          <w:lang w:val="pl"/>
        </w:rPr>
        <w:t>by</w:t>
      </w:r>
      <w:r>
        <w:rPr>
          <w:lang w:val="pl"/>
        </w:rPr>
        <w:t xml:space="preserve"> koniec </w:t>
      </w:r>
      <w:r w:rsidR="00165A20" w:rsidRPr="00165A20">
        <w:rPr>
          <w:sz w:val="22"/>
          <w:szCs w:val="22"/>
          <w:lang w:val="pl"/>
        </w:rPr>
        <w:t>produkcji</w:t>
      </w:r>
      <w:r>
        <w:rPr>
          <w:lang w:val="pl"/>
        </w:rPr>
        <w:t xml:space="preserve"> </w:t>
      </w:r>
      <w:r w:rsidR="00165A20">
        <w:rPr>
          <w:sz w:val="22"/>
          <w:szCs w:val="22"/>
          <w:lang w:val="pl"/>
        </w:rPr>
        <w:t xml:space="preserve"> handlowej. </w:t>
      </w:r>
      <w:r>
        <w:rPr>
          <w:lang w:val="pl"/>
        </w:rPr>
        <w:t xml:space="preserve"> </w:t>
      </w:r>
      <w:r w:rsidR="00165A20" w:rsidRPr="00165A20">
        <w:rPr>
          <w:kern w:val="0"/>
          <w:sz w:val="22"/>
          <w:szCs w:val="22"/>
          <w:lang w:val="pl"/>
        </w:rPr>
        <w:t>Ogólny zakaz stosowania klatek w tym sektorze jest nie do przyjęcia i miałby podobny wpływ na poziom UE. Istnieją pewne etapy/części produkcji, w których zwierzęta muszą być trzymane w klatkach, np. hodowla, w której pojawiają się problemy z atakami, stresem lub aborcją. Trzeba jednak przyznać, że koszty produkcji w systemach alternatywnych są bardzo wysokie, a ich objęcie będzie wyzwaniem. Ze względu na stale malejący popyt na mięso królicze należy zapewnić producentom wystarczające wsparcie.</w:t>
      </w:r>
    </w:p>
    <w:p w14:paraId="33831E6F" w14:textId="77777777" w:rsidR="00165A20" w:rsidRPr="00BF17FE" w:rsidRDefault="00165A20" w:rsidP="00BF17FE">
      <w:pPr>
        <w:spacing w:line="276" w:lineRule="auto"/>
        <w:jc w:val="both"/>
        <w:rPr>
          <w:rFonts w:eastAsia="Calibri" w:cs="Calibri"/>
          <w:kern w:val="0"/>
          <w:sz w:val="22"/>
          <w:szCs w:val="22"/>
          <w:lang w:val="pl-PL" w:eastAsia="en-US"/>
        </w:rPr>
      </w:pPr>
    </w:p>
    <w:p w14:paraId="13C216B5" w14:textId="2C71B30A" w:rsidR="00165A20" w:rsidRPr="00BF17FE" w:rsidRDefault="00165A20" w:rsidP="00BF17FE">
      <w:pPr>
        <w:spacing w:after="160" w:line="259" w:lineRule="auto"/>
        <w:jc w:val="both"/>
        <w:rPr>
          <w:rFonts w:eastAsia="Calibri" w:cs="Calibri"/>
          <w:kern w:val="0"/>
          <w:sz w:val="22"/>
          <w:szCs w:val="22"/>
          <w:lang w:val="pl-PL" w:eastAsia="en-US"/>
        </w:rPr>
      </w:pPr>
      <w:r w:rsidRPr="00165A20">
        <w:rPr>
          <w:kern w:val="0"/>
          <w:sz w:val="22"/>
          <w:szCs w:val="22"/>
          <w:lang w:val="pl"/>
        </w:rPr>
        <w:t xml:space="preserve">Przed podjęciem jakichkolwiek dalszych inwestycji potrzebna jest jasna definicja zarówno wzbogaconych klatek, jak i parków zbiorowych. Producenci dostrzegają możliwość przeniesienia się do parków zbiorowych przy części tuczącej produkcji, wspieranej dalszymi badaniami, wsparciem inwestycyjnym i transferem wiedzy do producentów. </w:t>
      </w:r>
    </w:p>
    <w:p w14:paraId="30943F4A" w14:textId="77777777" w:rsidR="00E6255D" w:rsidRPr="00BF17FE" w:rsidRDefault="00060075" w:rsidP="00BF17FE">
      <w:pPr>
        <w:spacing w:after="160" w:line="259" w:lineRule="auto"/>
        <w:jc w:val="both"/>
        <w:rPr>
          <w:rFonts w:eastAsia="Calibri" w:cs="Calibri"/>
          <w:b/>
          <w:bCs/>
          <w:kern w:val="0"/>
          <w:sz w:val="22"/>
          <w:szCs w:val="22"/>
          <w:u w:val="single"/>
          <w:lang w:val="pl-PL" w:eastAsia="en-US"/>
        </w:rPr>
      </w:pPr>
      <w:r w:rsidRPr="002E58C6">
        <w:rPr>
          <w:b/>
          <w:kern w:val="0"/>
          <w:sz w:val="22"/>
          <w:szCs w:val="22"/>
          <w:u w:val="single"/>
          <w:lang w:val="pl"/>
        </w:rPr>
        <w:t>Kaczki (i gęsi)</w:t>
      </w:r>
    </w:p>
    <w:p w14:paraId="424CD2D3" w14:textId="77777777" w:rsidR="004A6B7B" w:rsidRPr="00BF17FE" w:rsidRDefault="00060075" w:rsidP="00BF17FE">
      <w:pPr>
        <w:spacing w:after="160" w:line="259" w:lineRule="auto"/>
        <w:jc w:val="both"/>
        <w:rPr>
          <w:rFonts w:eastAsia="Calibri" w:cs="Calibri"/>
          <w:kern w:val="0"/>
          <w:sz w:val="22"/>
          <w:szCs w:val="22"/>
          <w:lang w:val="pl-PL" w:eastAsia="en-US"/>
        </w:rPr>
      </w:pPr>
      <w:r w:rsidRPr="002E58C6">
        <w:rPr>
          <w:kern w:val="0"/>
          <w:sz w:val="22"/>
          <w:szCs w:val="22"/>
          <w:lang w:val="pl"/>
        </w:rPr>
        <w:t>Największa część światowej populacji kaczek jest utrzymywana w Azji z udziałem w rynku 82,2%, a następnie w Europie obejmującej 12,4% rynku. W Europie produkujemy rocznie około 480 000 ton mięsa kaczego, a Francja jest największym producentem, a następnie Węgry i Polska. Mięso kaczki jest coraz bardziej popularne ze względu na skład składników odżywczych i kwasów tłuszczowych.</w:t>
      </w:r>
      <w:r w:rsidRPr="002E58C6">
        <w:rPr>
          <w:kern w:val="0"/>
          <w:sz w:val="22"/>
          <w:szCs w:val="22"/>
          <w:vertAlign w:val="superscript"/>
          <w:lang w:val="pl"/>
        </w:rPr>
        <w:footnoteReference w:id="8"/>
      </w:r>
      <w:r w:rsidRPr="002E58C6">
        <w:rPr>
          <w:rStyle w:val="Odwoanieprzypisudolnego"/>
          <w:kern w:val="0"/>
          <w:sz w:val="22"/>
          <w:szCs w:val="22"/>
          <w:lang w:val="pl"/>
        </w:rPr>
        <w:footnoteReference w:id="9"/>
      </w:r>
    </w:p>
    <w:p w14:paraId="1840B36F" w14:textId="565E28A6" w:rsidR="00964590" w:rsidRPr="00BF17FE" w:rsidRDefault="00060075" w:rsidP="00BF17FE">
      <w:pPr>
        <w:spacing w:after="160" w:line="259" w:lineRule="auto"/>
        <w:jc w:val="both"/>
        <w:rPr>
          <w:rFonts w:eastAsia="Calibri" w:cs="Calibri"/>
          <w:kern w:val="0"/>
          <w:sz w:val="22"/>
          <w:szCs w:val="22"/>
          <w:lang w:val="pl-PL" w:eastAsia="en-US"/>
        </w:rPr>
      </w:pPr>
      <w:r w:rsidRPr="002E58C6">
        <w:rPr>
          <w:kern w:val="0"/>
          <w:sz w:val="22"/>
          <w:szCs w:val="22"/>
          <w:lang w:val="pl"/>
        </w:rPr>
        <w:t xml:space="preserve">Hodowla kaczek w Europie koncentruje się na produkcji </w:t>
      </w:r>
      <w:proofErr w:type="spellStart"/>
      <w:r w:rsidRPr="002E58C6">
        <w:rPr>
          <w:kern w:val="0"/>
          <w:sz w:val="22"/>
          <w:szCs w:val="22"/>
          <w:lang w:val="pl"/>
        </w:rPr>
        <w:t>foie</w:t>
      </w:r>
      <w:proofErr w:type="spellEnd"/>
      <w:r w:rsidRPr="002E58C6">
        <w:rPr>
          <w:kern w:val="0"/>
          <w:sz w:val="22"/>
          <w:szCs w:val="22"/>
          <w:lang w:val="pl"/>
        </w:rPr>
        <w:t xml:space="preserve"> </w:t>
      </w:r>
      <w:proofErr w:type="spellStart"/>
      <w:r w:rsidRPr="002E58C6">
        <w:rPr>
          <w:kern w:val="0"/>
          <w:sz w:val="22"/>
          <w:szCs w:val="22"/>
          <w:lang w:val="pl"/>
        </w:rPr>
        <w:t>gras</w:t>
      </w:r>
      <w:proofErr w:type="spellEnd"/>
      <w:r w:rsidRPr="002E58C6">
        <w:rPr>
          <w:kern w:val="0"/>
          <w:sz w:val="22"/>
          <w:szCs w:val="22"/>
          <w:lang w:val="pl"/>
        </w:rPr>
        <w:t xml:space="preserve"> i kaczek po pekińsku. W Europie produkujemy rocznie 22 700 ton </w:t>
      </w:r>
      <w:proofErr w:type="spellStart"/>
      <w:r w:rsidRPr="002E58C6">
        <w:rPr>
          <w:kern w:val="0"/>
          <w:sz w:val="22"/>
          <w:szCs w:val="22"/>
          <w:lang w:val="pl"/>
        </w:rPr>
        <w:t>foie</w:t>
      </w:r>
      <w:proofErr w:type="spellEnd"/>
      <w:r w:rsidRPr="002E58C6">
        <w:rPr>
          <w:kern w:val="0"/>
          <w:sz w:val="22"/>
          <w:szCs w:val="22"/>
          <w:lang w:val="pl"/>
        </w:rPr>
        <w:t xml:space="preserve"> </w:t>
      </w:r>
      <w:proofErr w:type="spellStart"/>
      <w:r w:rsidRPr="002E58C6">
        <w:rPr>
          <w:kern w:val="0"/>
          <w:sz w:val="22"/>
          <w:szCs w:val="22"/>
          <w:lang w:val="pl"/>
        </w:rPr>
        <w:t>gras</w:t>
      </w:r>
      <w:proofErr w:type="spellEnd"/>
      <w:r w:rsidRPr="002E58C6">
        <w:rPr>
          <w:kern w:val="0"/>
          <w:sz w:val="22"/>
          <w:szCs w:val="22"/>
          <w:lang w:val="pl"/>
        </w:rPr>
        <w:t xml:space="preserve">, co tworzy 50 000 bezpośrednich miejsc pracy w gospodarstwach rodzinnych opartych na tradycyjnym know-how i 150 000 pośrednich miejsc pracy jako dostawcy żywności, wylęgarnie, rzeźnie i handlowcy. W ostatnich latach sektor ten dużo zainwestował w zwiększenie poziomu dobrostanu zwierząt. Pojedyncze klatki zostały zastąpione klatkami zbiorowymi. Wymóg ten wszedł w życie w następstwie zalecenia Rady Europy z dnia 22 czerwca 1999 r. zakazującego stosowania pojedynczych klatek do produkcji </w:t>
      </w:r>
      <w:proofErr w:type="spellStart"/>
      <w:r w:rsidRPr="002E58C6">
        <w:rPr>
          <w:kern w:val="0"/>
          <w:sz w:val="22"/>
          <w:szCs w:val="22"/>
          <w:lang w:val="pl"/>
        </w:rPr>
        <w:t>foie</w:t>
      </w:r>
      <w:proofErr w:type="spellEnd"/>
      <w:r w:rsidRPr="002E58C6">
        <w:rPr>
          <w:kern w:val="0"/>
          <w:sz w:val="22"/>
          <w:szCs w:val="22"/>
          <w:lang w:val="pl"/>
        </w:rPr>
        <w:t xml:space="preserve"> </w:t>
      </w:r>
      <w:proofErr w:type="spellStart"/>
      <w:r w:rsidRPr="002E58C6">
        <w:rPr>
          <w:kern w:val="0"/>
          <w:sz w:val="22"/>
          <w:szCs w:val="22"/>
          <w:lang w:val="pl"/>
        </w:rPr>
        <w:t>gras</w:t>
      </w:r>
      <w:proofErr w:type="spellEnd"/>
      <w:r w:rsidR="007A2409">
        <w:rPr>
          <w:kern w:val="0"/>
          <w:sz w:val="22"/>
          <w:szCs w:val="22"/>
          <w:lang w:val="pl"/>
        </w:rPr>
        <w:t>, które</w:t>
      </w:r>
      <w:r>
        <w:rPr>
          <w:lang w:val="pl"/>
        </w:rPr>
        <w:t xml:space="preserve"> </w:t>
      </w:r>
      <w:r w:rsidRPr="002E58C6">
        <w:rPr>
          <w:kern w:val="0"/>
          <w:sz w:val="22"/>
          <w:szCs w:val="22"/>
          <w:lang w:val="pl"/>
        </w:rPr>
        <w:t xml:space="preserve"> weszło w życie w 2014 r. Była to poważna ewolucja sektora, a koszty szacuje się na ponad 120 mln euro. </w:t>
      </w:r>
      <w:r>
        <w:rPr>
          <w:lang w:val="pl"/>
        </w:rPr>
        <w:t xml:space="preserve"> </w:t>
      </w:r>
      <w:r w:rsidRPr="002E58C6">
        <w:rPr>
          <w:sz w:val="22"/>
          <w:szCs w:val="22"/>
          <w:lang w:val="pl"/>
        </w:rPr>
        <w:t>Obecnie kaczki i gęsi spędzają 90% swojego życia na zewnątrz (faza chowu od 10 do 15 tygodni w zależności od gatunku), są tylko w klatkach zbiorowych podczas fazy tuczu (9-12 dni dla kaczek i 15 dni dla gęsi).</w:t>
      </w:r>
    </w:p>
    <w:p w14:paraId="05306772" w14:textId="77777777" w:rsidR="004A6B7B" w:rsidRPr="00BF17FE" w:rsidRDefault="00060075" w:rsidP="00BF17FE">
      <w:pPr>
        <w:spacing w:after="160" w:line="259" w:lineRule="auto"/>
        <w:jc w:val="both"/>
        <w:rPr>
          <w:rFonts w:eastAsia="Calibri" w:cs="Calibri"/>
          <w:kern w:val="0"/>
          <w:sz w:val="22"/>
          <w:szCs w:val="22"/>
          <w:lang w:val="pl-PL" w:eastAsia="en-US"/>
        </w:rPr>
      </w:pPr>
      <w:r w:rsidRPr="002E58C6">
        <w:rPr>
          <w:kern w:val="0"/>
          <w:sz w:val="22"/>
          <w:szCs w:val="22"/>
          <w:lang w:val="pl"/>
        </w:rPr>
        <w:t xml:space="preserve">Kaczki do pieczenia są zwykle trzymane na słomie w stodołach i często mają dostęp do wody. </w:t>
      </w:r>
    </w:p>
    <w:p w14:paraId="2CFD23C8" w14:textId="577BE02B" w:rsidR="004A6B7B" w:rsidRPr="00BF17FE" w:rsidRDefault="00060075" w:rsidP="00BF17FE">
      <w:pPr>
        <w:spacing w:after="160" w:line="259" w:lineRule="auto"/>
        <w:jc w:val="both"/>
        <w:rPr>
          <w:rFonts w:eastAsia="Calibri" w:cs="Calibri"/>
          <w:kern w:val="0"/>
          <w:sz w:val="22"/>
          <w:szCs w:val="22"/>
          <w:lang w:val="pl-PL" w:eastAsia="en-US"/>
        </w:rPr>
      </w:pPr>
      <w:bookmarkStart w:id="11" w:name="_Hlk78414852"/>
      <w:r w:rsidRPr="00165A20">
        <w:rPr>
          <w:kern w:val="0"/>
          <w:sz w:val="22"/>
          <w:szCs w:val="22"/>
          <w:lang w:val="pl"/>
        </w:rPr>
        <w:t>Wszystkie sektory powinny mieć możliwość przyczynienia się do zrównoważonego rozwoju i utrzymania swojego potencjału produkcyjnego w Europie.</w:t>
      </w:r>
      <w:r w:rsidR="00BF17FE">
        <w:rPr>
          <w:kern w:val="0"/>
          <w:sz w:val="22"/>
          <w:szCs w:val="22"/>
          <w:lang w:val="pl"/>
        </w:rPr>
        <w:t xml:space="preserve"> GR Drób i Jaja </w:t>
      </w:r>
      <w:r w:rsidRPr="00165A20">
        <w:rPr>
          <w:kern w:val="0"/>
          <w:sz w:val="22"/>
          <w:szCs w:val="22"/>
          <w:lang w:val="pl"/>
        </w:rPr>
        <w:t xml:space="preserve"> wspiera podejście rynkowe, które umożliwiło podniesienie standardów dobrostanu w produkcji kaczek. W produkcji </w:t>
      </w:r>
      <w:proofErr w:type="spellStart"/>
      <w:r w:rsidRPr="00165A20">
        <w:rPr>
          <w:kern w:val="0"/>
          <w:sz w:val="22"/>
          <w:szCs w:val="22"/>
          <w:lang w:val="pl"/>
        </w:rPr>
        <w:t>foie</w:t>
      </w:r>
      <w:proofErr w:type="spellEnd"/>
      <w:r w:rsidRPr="00165A20">
        <w:rPr>
          <w:kern w:val="0"/>
          <w:sz w:val="22"/>
          <w:szCs w:val="22"/>
          <w:lang w:val="pl"/>
        </w:rPr>
        <w:t xml:space="preserve"> </w:t>
      </w:r>
      <w:proofErr w:type="spellStart"/>
      <w:r w:rsidRPr="00165A20">
        <w:rPr>
          <w:kern w:val="0"/>
          <w:sz w:val="22"/>
          <w:szCs w:val="22"/>
          <w:lang w:val="pl"/>
        </w:rPr>
        <w:t>gras</w:t>
      </w:r>
      <w:proofErr w:type="spellEnd"/>
      <w:r w:rsidRPr="00165A20">
        <w:rPr>
          <w:kern w:val="0"/>
          <w:sz w:val="22"/>
          <w:szCs w:val="22"/>
          <w:lang w:val="pl"/>
        </w:rPr>
        <w:t xml:space="preserve"> faza chowu w klatkach jest zredukowana do minimum, a wszystkie zwierzęta w całej Europie są hodowane na wolnym wybiegu przez nią przez nią część swojego życia. Podobnie jak we wszystkich innych sektorach, chcielibyśmy podkreślić potrzebę </w:t>
      </w:r>
      <w:r w:rsidRPr="00165A20">
        <w:rPr>
          <w:kern w:val="0"/>
          <w:sz w:val="22"/>
          <w:szCs w:val="22"/>
          <w:lang w:val="pl"/>
        </w:rPr>
        <w:lastRenderedPageBreak/>
        <w:t xml:space="preserve">obowiązkowego oznaczania kraju pochodzenia na mięsie kaczym, jajach i ich produktach, w tym </w:t>
      </w:r>
      <w:proofErr w:type="spellStart"/>
      <w:r w:rsidRPr="00165A20">
        <w:rPr>
          <w:kern w:val="0"/>
          <w:sz w:val="22"/>
          <w:szCs w:val="22"/>
          <w:lang w:val="pl"/>
        </w:rPr>
        <w:t>foie</w:t>
      </w:r>
      <w:proofErr w:type="spellEnd"/>
      <w:r w:rsidRPr="00165A20">
        <w:rPr>
          <w:kern w:val="0"/>
          <w:sz w:val="22"/>
          <w:szCs w:val="22"/>
          <w:lang w:val="pl"/>
        </w:rPr>
        <w:t xml:space="preserve"> </w:t>
      </w:r>
      <w:proofErr w:type="spellStart"/>
      <w:r w:rsidRPr="00165A20">
        <w:rPr>
          <w:kern w:val="0"/>
          <w:sz w:val="22"/>
          <w:szCs w:val="22"/>
          <w:lang w:val="pl"/>
        </w:rPr>
        <w:t>gras</w:t>
      </w:r>
      <w:proofErr w:type="spellEnd"/>
      <w:r w:rsidRPr="00165A20">
        <w:rPr>
          <w:kern w:val="0"/>
          <w:sz w:val="22"/>
          <w:szCs w:val="22"/>
          <w:lang w:val="pl"/>
        </w:rPr>
        <w:t>.</w:t>
      </w:r>
    </w:p>
    <w:bookmarkEnd w:id="11"/>
    <w:p w14:paraId="06527F4F" w14:textId="77777777" w:rsidR="004A6B7B" w:rsidRPr="00BF17FE" w:rsidRDefault="00060075" w:rsidP="00BF17FE">
      <w:pPr>
        <w:spacing w:after="160" w:line="259" w:lineRule="auto"/>
        <w:jc w:val="both"/>
        <w:rPr>
          <w:rFonts w:eastAsia="Calibri" w:cs="Calibri"/>
          <w:b/>
          <w:bCs/>
          <w:kern w:val="0"/>
          <w:sz w:val="22"/>
          <w:szCs w:val="22"/>
          <w:u w:val="single"/>
          <w:lang w:val="pl-PL" w:eastAsia="en-US"/>
        </w:rPr>
      </w:pPr>
      <w:r w:rsidRPr="002E58C6">
        <w:rPr>
          <w:b/>
          <w:kern w:val="0"/>
          <w:sz w:val="22"/>
          <w:szCs w:val="22"/>
          <w:u w:val="single"/>
          <w:lang w:val="pl"/>
        </w:rPr>
        <w:t>Przepiórki</w:t>
      </w:r>
    </w:p>
    <w:p w14:paraId="25EAB066" w14:textId="6DEE4BFD" w:rsidR="004A6B7B" w:rsidRPr="00BF17FE" w:rsidRDefault="00060075" w:rsidP="00BF17FE">
      <w:pPr>
        <w:spacing w:after="160" w:line="259" w:lineRule="auto"/>
        <w:jc w:val="both"/>
        <w:rPr>
          <w:rFonts w:eastAsia="Calibri" w:cs="Calibri"/>
          <w:kern w:val="0"/>
          <w:sz w:val="22"/>
          <w:szCs w:val="22"/>
          <w:lang w:val="pl-PL" w:eastAsia="en-US"/>
        </w:rPr>
      </w:pPr>
      <w:r w:rsidRPr="002E58C6">
        <w:rPr>
          <w:kern w:val="0"/>
          <w:sz w:val="22"/>
          <w:szCs w:val="22"/>
          <w:lang w:val="pl"/>
        </w:rPr>
        <w:t xml:space="preserve">Sektor przepiórek jest częścią niszowego rynku praktykowanego głównie na drobnych rolnikach jako dodatkowy dochód. Należy odróżnić przepiórki, które są trzymane na jaja i głównie rozmnażają się w klatkach i przepiórki, które są trzymane na mięso trzymane w stodołach. </w:t>
      </w:r>
    </w:p>
    <w:p w14:paraId="377E0376" w14:textId="53649409" w:rsidR="00E6255D" w:rsidRPr="00BF17FE" w:rsidRDefault="00841A9F" w:rsidP="00BF17FE">
      <w:pPr>
        <w:spacing w:after="160" w:line="259" w:lineRule="auto"/>
        <w:jc w:val="both"/>
        <w:rPr>
          <w:rFonts w:eastAsia="Calibri" w:cs="Calibri"/>
          <w:color w:val="538135"/>
          <w:kern w:val="0"/>
          <w:sz w:val="22"/>
          <w:szCs w:val="22"/>
          <w:u w:val="single"/>
          <w:lang w:val="pl-PL" w:eastAsia="en-US"/>
        </w:rPr>
      </w:pPr>
      <w:bookmarkStart w:id="12" w:name="_Hlk78414942"/>
      <w:r>
        <w:rPr>
          <w:kern w:val="0"/>
          <w:sz w:val="22"/>
          <w:szCs w:val="22"/>
          <w:lang w:val="pl"/>
        </w:rPr>
        <w:t xml:space="preserve">Sektor jest przygotowany do poruszania się zgodnie z podejściem rynkowym. </w:t>
      </w:r>
      <w:bookmarkEnd w:id="12"/>
    </w:p>
    <w:p w14:paraId="50F63E33" w14:textId="02B7AD9D" w:rsidR="00723FDD" w:rsidRPr="00BF17FE" w:rsidRDefault="00060075" w:rsidP="00BF17FE">
      <w:pPr>
        <w:spacing w:after="200"/>
        <w:jc w:val="both"/>
        <w:rPr>
          <w:rFonts w:cs="Calibri"/>
          <w:b/>
          <w:bCs/>
          <w:sz w:val="22"/>
          <w:szCs w:val="22"/>
          <w:u w:val="single"/>
          <w:lang w:val="pl-PL"/>
        </w:rPr>
      </w:pPr>
      <w:r w:rsidRPr="002E58C6">
        <w:rPr>
          <w:b/>
          <w:sz w:val="22"/>
          <w:szCs w:val="22"/>
          <w:u w:val="single"/>
          <w:lang w:val="pl"/>
        </w:rPr>
        <w:t>Zwierzęta futerkowe</w:t>
      </w:r>
    </w:p>
    <w:p w14:paraId="5B8C062C" w14:textId="71859810" w:rsidR="00841A9F" w:rsidRPr="00BF17FE" w:rsidRDefault="00841A9F" w:rsidP="00BF17FE">
      <w:pPr>
        <w:spacing w:after="200"/>
        <w:jc w:val="both"/>
        <w:rPr>
          <w:rFonts w:cs="Calibri"/>
          <w:sz w:val="22"/>
          <w:szCs w:val="22"/>
          <w:lang w:val="pl-PL"/>
        </w:rPr>
      </w:pPr>
      <w:r w:rsidRPr="00165A20">
        <w:rPr>
          <w:sz w:val="22"/>
          <w:szCs w:val="22"/>
          <w:lang w:val="pl"/>
        </w:rPr>
        <w:t>Produkcja futer w Europie ma bardzo długą tradycję, utrzymuje społeczności wiejskie i wspiera lokalną gospodarkę. Obecnie produkcja futer odbywa się w 22 państwach członkowskich UE. Jest to głównie firma rodzinna, mała i średnia. Sektor ten odgrywa szczególnie ważną rolę w niektórych konkretnych</w:t>
      </w:r>
      <w:r w:rsidR="00A817B6">
        <w:rPr>
          <w:sz w:val="22"/>
          <w:szCs w:val="22"/>
          <w:lang w:val="pl"/>
        </w:rPr>
        <w:t xml:space="preserve"> krajach i regionach</w:t>
      </w:r>
      <w:r>
        <w:rPr>
          <w:lang w:val="pl"/>
        </w:rPr>
        <w:t xml:space="preserve"> </w:t>
      </w:r>
      <w:r w:rsidRPr="00165A20">
        <w:rPr>
          <w:sz w:val="22"/>
          <w:szCs w:val="22"/>
          <w:lang w:val="pl"/>
        </w:rPr>
        <w:t xml:space="preserve"> oraz jest znaczącym dostawcą miejsc pracy na obszarach wiejskich.</w:t>
      </w:r>
    </w:p>
    <w:p w14:paraId="3E19151C" w14:textId="281F3643" w:rsidR="00841A9F" w:rsidRPr="00841A9F" w:rsidRDefault="00841A9F" w:rsidP="00BF17FE">
      <w:pPr>
        <w:spacing w:after="200"/>
        <w:jc w:val="both"/>
        <w:rPr>
          <w:rFonts w:cs="Calibri"/>
          <w:sz w:val="22"/>
          <w:szCs w:val="22"/>
          <w:lang w:val="en-GB"/>
        </w:rPr>
      </w:pPr>
      <w:bookmarkStart w:id="13" w:name="_Hlk78415339"/>
      <w:r w:rsidRPr="00841A9F">
        <w:rPr>
          <w:sz w:val="22"/>
          <w:szCs w:val="22"/>
          <w:lang w:val="pl"/>
        </w:rPr>
        <w:t xml:space="preserve">Sektor </w:t>
      </w:r>
      <w:proofErr w:type="spellStart"/>
      <w:r w:rsidR="00A817B6">
        <w:rPr>
          <w:sz w:val="22"/>
          <w:szCs w:val="22"/>
          <w:lang w:val="pl"/>
        </w:rPr>
        <w:t>futrzary</w:t>
      </w:r>
      <w:proofErr w:type="spellEnd"/>
      <w:r w:rsidR="00A817B6">
        <w:rPr>
          <w:sz w:val="22"/>
          <w:szCs w:val="22"/>
          <w:lang w:val="pl"/>
        </w:rPr>
        <w:t xml:space="preserve"> </w:t>
      </w:r>
      <w:r>
        <w:rPr>
          <w:lang w:val="pl"/>
        </w:rPr>
        <w:t xml:space="preserve"> </w:t>
      </w:r>
      <w:r w:rsidRPr="00841A9F">
        <w:rPr>
          <w:sz w:val="22"/>
          <w:szCs w:val="22"/>
          <w:lang w:val="pl"/>
        </w:rPr>
        <w:t xml:space="preserve">zainwestował wiele, aby dostosować się do zaleceń Rady Europy dla zwierząt futerkowych z 1999 roku. Inwestycje oszacowano na 1,152 mld EUR, co odnosi się jedynie do produkcji norek (93% europejskiej produkcji futrzarek) i nie obejmuje kosztów pracy potrzebnej do instalacji klatek. Ponadto rolnicy stale inwestują w materiały wzbogacające. </w:t>
      </w:r>
      <w:bookmarkEnd w:id="13"/>
      <w:r w:rsidRPr="00841A9F">
        <w:rPr>
          <w:sz w:val="22"/>
          <w:szCs w:val="22"/>
          <w:vertAlign w:val="superscript"/>
          <w:lang w:val="pl"/>
        </w:rPr>
        <w:footnoteReference w:id="10"/>
      </w:r>
    </w:p>
    <w:p w14:paraId="672555AF" w14:textId="5BCC7C6D" w:rsidR="00841A9F" w:rsidRPr="00BF17FE" w:rsidRDefault="00841A9F" w:rsidP="00BF17FE">
      <w:pPr>
        <w:spacing w:after="200"/>
        <w:jc w:val="both"/>
        <w:rPr>
          <w:rFonts w:cs="Calibri"/>
          <w:sz w:val="22"/>
          <w:szCs w:val="22"/>
          <w:lang w:val="pl-PL"/>
        </w:rPr>
      </w:pPr>
      <w:r w:rsidRPr="00841A9F">
        <w:rPr>
          <w:sz w:val="22"/>
          <w:szCs w:val="22"/>
          <w:lang w:val="pl"/>
        </w:rPr>
        <w:t xml:space="preserve">Popyt na futra jest bardzo wysoki i rośnie ze wszystkich rynków. W przypadku jakichkolwiek zmian produkcja zostałaby przemieszczona do krajów bez żadnych celów w zakresie dobrostanu zwierząt. Europejscy rolnicy przestrzegają najwyższych standardów i mogą rozpowszechniać najlepsze praktyki na całym świecie. Europejska produkcja oferuje produkty najwyższej jakości. Konsumenci domagają się odpowiedzialnego produktu, a producenci europejscy są w stanie go dostarczyć. Europejscy producenci są zaangażowani w dobre praktyki i opracowali wiele uznanych systemów certyfikacji w zakresie dobrostanu zwierząt, podobnie jak Saga/FIFUR, </w:t>
      </w:r>
      <w:proofErr w:type="spellStart"/>
      <w:r w:rsidRPr="00841A9F">
        <w:rPr>
          <w:sz w:val="22"/>
          <w:szCs w:val="22"/>
          <w:lang w:val="pl"/>
        </w:rPr>
        <w:t>WelFur</w:t>
      </w:r>
      <w:proofErr w:type="spellEnd"/>
      <w:r w:rsidRPr="00841A9F">
        <w:rPr>
          <w:sz w:val="22"/>
          <w:szCs w:val="22"/>
          <w:lang w:val="pl"/>
        </w:rPr>
        <w:t xml:space="preserve">. </w:t>
      </w:r>
      <w:proofErr w:type="spellStart"/>
      <w:r w:rsidRPr="00841A9F">
        <w:rPr>
          <w:sz w:val="22"/>
          <w:szCs w:val="22"/>
          <w:lang w:val="pl"/>
        </w:rPr>
        <w:t>WelFur</w:t>
      </w:r>
      <w:proofErr w:type="spellEnd"/>
      <w:r w:rsidRPr="00841A9F">
        <w:rPr>
          <w:sz w:val="22"/>
          <w:szCs w:val="22"/>
          <w:lang w:val="pl"/>
        </w:rPr>
        <w:t xml:space="preserve"> to program oceny dobrostanu zwierząt opracowany przez siedem europejskich uniwersytetów i obecnie wdrażany w 98% europejskich ferm norek i lisów.</w:t>
      </w:r>
    </w:p>
    <w:p w14:paraId="4124FF26" w14:textId="6CEBC9F3" w:rsidR="00841A9F" w:rsidRPr="00BF17FE" w:rsidRDefault="00841A9F" w:rsidP="00BF17FE">
      <w:pPr>
        <w:spacing w:after="200"/>
        <w:jc w:val="both"/>
        <w:rPr>
          <w:rFonts w:cs="Calibri"/>
          <w:sz w:val="22"/>
          <w:szCs w:val="22"/>
          <w:lang w:val="pl-PL"/>
        </w:rPr>
      </w:pPr>
      <w:bookmarkStart w:id="14" w:name="_Hlk78415375"/>
      <w:r w:rsidRPr="00841A9F">
        <w:rPr>
          <w:sz w:val="22"/>
          <w:szCs w:val="22"/>
          <w:lang w:val="pl"/>
        </w:rPr>
        <w:t>Klatki są kluczowym elementem systemów trzymania ferm futrzarskich i zaspokajają biologiczne potrzeby zwierząt (zapewniając również terytorium wolne od konkurentów), ale są również optymalne pod względem zwalczania chorób. Ponieważ hodowla zwierząt futerkowych bez klatek byłaby niemożliwa, ich zakaz doprowadziłby do zamknięcia około 4500 gospodarstw rolnych w całej Europie i szacowanej utraty 15 000 bezpośrednich miejsc pracy w gospodarstwach rolnych. Ponadto miałoby to wpływ nie tylko na bezpośrednie miejsca pracy: szacuje się, że każdy hodowca zwierząt futerkowych tworzy jedno dodatkowe domowe zatrudnienie. Negatywny wpływ na zatrudnienie byłby również kaskadowo przenoszony na dalszy etap łańcucha dostaw, który w Europie liczy do 100 000 miejsc pracy.</w:t>
      </w:r>
      <w:r w:rsidRPr="00841A9F">
        <w:rPr>
          <w:sz w:val="22"/>
          <w:szCs w:val="22"/>
          <w:vertAlign w:val="superscript"/>
          <w:lang w:val="pl"/>
        </w:rPr>
        <w:footnoteReference w:id="11"/>
      </w:r>
      <w:bookmarkEnd w:id="14"/>
      <w:r w:rsidRPr="00841A9F">
        <w:rPr>
          <w:sz w:val="22"/>
          <w:szCs w:val="22"/>
          <w:vertAlign w:val="superscript"/>
          <w:lang w:val="pl"/>
        </w:rPr>
        <w:footnoteReference w:id="12"/>
      </w:r>
    </w:p>
    <w:p w14:paraId="7B96322B" w14:textId="77777777" w:rsidR="00F31280" w:rsidRPr="00BF17FE" w:rsidRDefault="00060075" w:rsidP="00BF17FE">
      <w:pPr>
        <w:spacing w:after="200"/>
        <w:jc w:val="both"/>
        <w:rPr>
          <w:rFonts w:cs="Calibri"/>
          <w:b/>
          <w:bCs/>
          <w:sz w:val="22"/>
          <w:szCs w:val="22"/>
          <w:u w:val="single"/>
          <w:lang w:val="pl-PL"/>
        </w:rPr>
      </w:pPr>
      <w:r w:rsidRPr="002E58C6">
        <w:rPr>
          <w:b/>
          <w:sz w:val="22"/>
          <w:szCs w:val="22"/>
          <w:u w:val="single"/>
          <w:lang w:val="pl"/>
        </w:rPr>
        <w:t>Transport</w:t>
      </w:r>
    </w:p>
    <w:p w14:paraId="4C0FA0FE" w14:textId="2BB99441" w:rsidR="00E6255D" w:rsidRPr="00BF17FE" w:rsidRDefault="00060075" w:rsidP="00BF17FE">
      <w:pPr>
        <w:spacing w:after="200"/>
        <w:jc w:val="both"/>
        <w:rPr>
          <w:rFonts w:cs="Calibri"/>
          <w:sz w:val="22"/>
          <w:szCs w:val="22"/>
          <w:lang w:val="pl-PL"/>
        </w:rPr>
      </w:pPr>
      <w:bookmarkStart w:id="15" w:name="_Hlk78415426"/>
      <w:r w:rsidRPr="002E58C6">
        <w:rPr>
          <w:sz w:val="22"/>
          <w:szCs w:val="22"/>
          <w:lang w:val="pl"/>
        </w:rPr>
        <w:lastRenderedPageBreak/>
        <w:t xml:space="preserve">Stanowisko </w:t>
      </w:r>
      <w:proofErr w:type="spellStart"/>
      <w:r w:rsidRPr="002E58C6">
        <w:rPr>
          <w:sz w:val="22"/>
          <w:szCs w:val="22"/>
          <w:lang w:val="pl"/>
        </w:rPr>
        <w:t>Copa-Cogeca</w:t>
      </w:r>
      <w:proofErr w:type="spellEnd"/>
      <w:r w:rsidRPr="002E58C6">
        <w:rPr>
          <w:sz w:val="22"/>
          <w:szCs w:val="22"/>
          <w:lang w:val="pl"/>
        </w:rPr>
        <w:t xml:space="preserve"> w sprawie transportu (</w:t>
      </w:r>
      <w:r>
        <w:rPr>
          <w:lang w:val="pl"/>
        </w:rPr>
        <w:t xml:space="preserve"> </w:t>
      </w:r>
      <w:hyperlink r:id="rId10" w:history="1">
        <w:r w:rsidRPr="002E58C6">
          <w:rPr>
            <w:rStyle w:val="Hipercze"/>
            <w:sz w:val="22"/>
            <w:szCs w:val="22"/>
            <w:lang w:val="pl"/>
          </w:rPr>
          <w:t>AHW(21)3332</w:t>
        </w:r>
      </w:hyperlink>
      <w:r w:rsidRPr="002E58C6">
        <w:rPr>
          <w:sz w:val="22"/>
          <w:szCs w:val="22"/>
          <w:lang w:val="pl"/>
        </w:rPr>
        <w:t>) zostało zatwierdzone przez</w:t>
      </w:r>
      <w:r w:rsidR="00BF17FE">
        <w:rPr>
          <w:sz w:val="22"/>
          <w:szCs w:val="22"/>
          <w:lang w:val="pl"/>
        </w:rPr>
        <w:t xml:space="preserve"> GR </w:t>
      </w:r>
      <w:r w:rsidRPr="002E58C6">
        <w:rPr>
          <w:sz w:val="22"/>
          <w:szCs w:val="22"/>
          <w:lang w:val="pl"/>
        </w:rPr>
        <w:t>AHW 20</w:t>
      </w:r>
      <w:r>
        <w:rPr>
          <w:lang w:val="pl"/>
        </w:rPr>
        <w:t xml:space="preserve"> maja i</w:t>
      </w:r>
      <w:r w:rsidRPr="002E58C6">
        <w:rPr>
          <w:sz w:val="22"/>
          <w:szCs w:val="22"/>
          <w:lang w:val="pl"/>
        </w:rPr>
        <w:t xml:space="preserve"> na </w:t>
      </w:r>
      <w:proofErr w:type="spellStart"/>
      <w:r w:rsidRPr="002E58C6">
        <w:rPr>
          <w:sz w:val="22"/>
          <w:szCs w:val="22"/>
          <w:lang w:val="pl"/>
        </w:rPr>
        <w:t>Praesidia</w:t>
      </w:r>
      <w:proofErr w:type="spellEnd"/>
      <w:r w:rsidRPr="002E58C6">
        <w:rPr>
          <w:sz w:val="22"/>
          <w:szCs w:val="22"/>
          <w:lang w:val="pl"/>
        </w:rPr>
        <w:t xml:space="preserve"> w dniach 17/18 czerwca. Ogólne linie dotyczące transportu są </w:t>
      </w:r>
      <w:r>
        <w:rPr>
          <w:lang w:val="pl"/>
        </w:rPr>
        <w:t xml:space="preserve"> </w:t>
      </w:r>
      <w:proofErr w:type="spellStart"/>
      <w:r w:rsidR="00A817B6">
        <w:rPr>
          <w:sz w:val="22"/>
          <w:szCs w:val="22"/>
          <w:lang w:val="pl"/>
        </w:rPr>
        <w:t>summarowane</w:t>
      </w:r>
      <w:r>
        <w:rPr>
          <w:lang w:val="pl"/>
        </w:rPr>
        <w:t>w</w:t>
      </w:r>
      <w:r w:rsidRPr="002E58C6">
        <w:rPr>
          <w:sz w:val="22"/>
          <w:szCs w:val="22"/>
          <w:lang w:val="pl"/>
        </w:rPr>
        <w:t>dokumencie</w:t>
      </w:r>
      <w:proofErr w:type="spellEnd"/>
      <w:r w:rsidRPr="002E58C6">
        <w:rPr>
          <w:sz w:val="22"/>
          <w:szCs w:val="22"/>
          <w:lang w:val="pl"/>
        </w:rPr>
        <w:t>. Dodatkowo</w:t>
      </w:r>
      <w:r w:rsidR="00BF17FE">
        <w:rPr>
          <w:sz w:val="22"/>
          <w:szCs w:val="22"/>
          <w:lang w:val="pl"/>
        </w:rPr>
        <w:t xml:space="preserve"> GR </w:t>
      </w:r>
      <w:r w:rsidRPr="002E58C6">
        <w:rPr>
          <w:sz w:val="22"/>
          <w:szCs w:val="22"/>
          <w:lang w:val="pl"/>
        </w:rPr>
        <w:t>Drób i Jaja chciałby podkreślić niektóre cechy specyficzne sektora.</w:t>
      </w:r>
    </w:p>
    <w:p w14:paraId="2E883700" w14:textId="646C3775" w:rsidR="0057426E" w:rsidRPr="00BF17FE" w:rsidRDefault="00060075" w:rsidP="00BF17FE">
      <w:pPr>
        <w:spacing w:after="200"/>
        <w:jc w:val="both"/>
        <w:rPr>
          <w:rFonts w:cs="Calibri"/>
          <w:sz w:val="22"/>
          <w:szCs w:val="22"/>
          <w:lang w:val="pl-PL"/>
        </w:rPr>
      </w:pPr>
      <w:bookmarkStart w:id="16" w:name="_Hlk78415445"/>
      <w:bookmarkEnd w:id="15"/>
      <w:r w:rsidRPr="002E58C6">
        <w:rPr>
          <w:sz w:val="22"/>
          <w:szCs w:val="22"/>
          <w:lang w:val="pl"/>
        </w:rPr>
        <w:t xml:space="preserve">Istnieje wysoka koncentracja zarówno wylęgarni, jak i produkcji piskląt, ale także rzeźni, co wpływa na czas podróży podczas transportu drobiu. Niektóre gatunki lub części produkcji, np. dziadkowie drobiu, istnieją prawie tylko w określonych regionach lub państwach członkowskich. Ich transport do różnych państw członkowskich ma zasadnicze znaczenie dla istnienia sektora i te linie transportowe muszą nadal istnieć. Sektor z zadowoleniem przyjmuje wysiłki na rzecz wzrostu dobrostanu zwierząt podczas transportu. Dobrostan drobiu podczas transportu i jakość transportu ma również istotny wpływ na zwierzęta po ich przybyciu do gospodarstw lub na jakość mięsa, jeśli są one transportowane do rzeźni. Należy zapewnić, aby transport zwierząt między załadunkiem do stacji rozładunkowej był jak najkrótszy i jak najszybszy oraz aby stosowane były różne środki mające na celu maksymalizację dobrostanu zwierząt podczas transportu. Spodziewaliśmy się, że państwa członkowskie i Komisja wyłączą transport drobiu z różnych ograniczeń, takich jak np. ograniczenie prędkości w nocy, aby zapewnić transport zwierząt w części dnia lub dni w tygodniu, która może zagwarantować najlepsze warunki również w odniesieniu do sytuacji pogodowej. </w:t>
      </w:r>
    </w:p>
    <w:p w14:paraId="3AB2BCB6" w14:textId="30D0E0E3" w:rsidR="00E6255D" w:rsidRPr="00BF17FE" w:rsidRDefault="00060075" w:rsidP="00BF17FE">
      <w:pPr>
        <w:spacing w:after="200"/>
        <w:jc w:val="both"/>
        <w:rPr>
          <w:rFonts w:cs="Calibri"/>
          <w:sz w:val="22"/>
          <w:szCs w:val="22"/>
          <w:lang w:val="pl-PL"/>
        </w:rPr>
      </w:pPr>
      <w:r w:rsidRPr="002E58C6">
        <w:rPr>
          <w:sz w:val="22"/>
          <w:szCs w:val="22"/>
          <w:lang w:val="pl"/>
        </w:rPr>
        <w:t>Załadunek i rozładunek zwierząt są naukowo udowodnione, że są najbardziej stresującymi częściami transportu. Dlatego muszą być wykonane szybko i adekwatnie do specyfiki każdego gatunku. Rozporządzenie Rady nr 1/2005 w sprawie ochrony zwierząt podczas transportu nie uwzględnia w odpowiedni sposób praktyk i potrzeb sektora drobiarskiego. Obecnie rozporządzenie w swoim załączniku zabrania podnoszenia zwierząt za nogi.</w:t>
      </w:r>
      <w:r w:rsidR="00BF17FE">
        <w:rPr>
          <w:sz w:val="22"/>
          <w:szCs w:val="22"/>
          <w:lang w:val="pl"/>
        </w:rPr>
        <w:t xml:space="preserve"> GR Drób i Jaja</w:t>
      </w:r>
      <w:r w:rsidRPr="002E58C6">
        <w:rPr>
          <w:sz w:val="22"/>
          <w:szCs w:val="22"/>
          <w:lang w:val="pl"/>
        </w:rPr>
        <w:t xml:space="preserve"> uważa, że sektor drobiarski nie był brany pod uwagę podczas przygotowywania tego rozporządzenia i dlatego wzywa europejskich decydentów do dostosowania rozporządzenia do realiów i potrzeb sektora.  Połów i załadunek drobiu różni się od innych gatunków. Sposób łapania i obchodzenia się z nim zależy od gatunku, na przykład kurczęta są łapane przez nogi, wokół ciała lub przez podstawę skrzydeł. Sposób obchodzenia się z drobiem i złowienia ma kluczowe znaczenie dla dobrostanu ptaków, a wszystkie trzy różne metody zapewniają wysoki poziom dobrostanu zwierząt. Ludzie, którzy łapią ptaki, są edukowani i szkoleni w zakresie tego, jak należy to zrobić w taki sposób, aby dobrostan zwierzęcia nie mógł być zagrożony. </w:t>
      </w:r>
      <w:bookmarkStart w:id="17" w:name="_Hlk78415457"/>
      <w:bookmarkEnd w:id="16"/>
    </w:p>
    <w:p w14:paraId="0D2B7A96" w14:textId="3AF1034E" w:rsidR="00292912" w:rsidRPr="00BF17FE" w:rsidRDefault="00060075" w:rsidP="00BF17FE">
      <w:pPr>
        <w:spacing w:after="200"/>
        <w:jc w:val="both"/>
        <w:rPr>
          <w:sz w:val="22"/>
          <w:szCs w:val="22"/>
          <w:lang w:val="pl-PL"/>
        </w:rPr>
      </w:pPr>
      <w:r w:rsidRPr="002E58C6">
        <w:rPr>
          <w:sz w:val="22"/>
          <w:szCs w:val="22"/>
          <w:lang w:val="pl"/>
        </w:rPr>
        <w:t>W 2016 r. opublikowaliśmy europejski przewodnik po transporcie drobiu (</w:t>
      </w:r>
      <w:proofErr w:type="spellStart"/>
      <w:r w:rsidRPr="002E58C6">
        <w:rPr>
          <w:sz w:val="22"/>
          <w:szCs w:val="22"/>
          <w:lang w:val="pl"/>
        </w:rPr>
        <w:t>Copa-Cogeca</w:t>
      </w:r>
      <w:proofErr w:type="spellEnd"/>
      <w:r w:rsidRPr="002E58C6">
        <w:rPr>
          <w:sz w:val="22"/>
          <w:szCs w:val="22"/>
          <w:lang w:val="pl"/>
        </w:rPr>
        <w:t>, AVEC, FVE) - Zdrowie i dobrostan drobiu podczas transportu, ze szczególnym uwzględnieniem transportu kurcząt z gospodarstwa do rzeźni (</w:t>
      </w:r>
      <w:hyperlink r:id="rId11" w:history="1">
        <w:r w:rsidRPr="002E58C6">
          <w:rPr>
            <w:rStyle w:val="Hipercze"/>
            <w:sz w:val="22"/>
            <w:szCs w:val="22"/>
            <w:lang w:val="pl"/>
          </w:rPr>
          <w:t>OV(14)983</w:t>
        </w:r>
      </w:hyperlink>
      <w:r w:rsidRPr="002E58C6">
        <w:rPr>
          <w:sz w:val="22"/>
          <w:szCs w:val="22"/>
          <w:lang w:val="pl"/>
        </w:rPr>
        <w:t>).</w:t>
      </w:r>
      <w:bookmarkEnd w:id="17"/>
    </w:p>
    <w:sectPr w:rsidR="00292912" w:rsidRPr="00BF17FE" w:rsidSect="00476655">
      <w:headerReference w:type="even" r:id="rId12"/>
      <w:headerReference w:type="default" r:id="rId13"/>
      <w:footerReference w:type="even" r:id="rId14"/>
      <w:footerReference w:type="default" r:id="rId15"/>
      <w:headerReference w:type="first" r:id="rId16"/>
      <w:footerReference w:type="first" r:id="rId17"/>
      <w:pgSz w:w="11906" w:h="16838" w:code="9"/>
      <w:pgMar w:top="1032" w:right="1826" w:bottom="1797" w:left="1134" w:header="573" w:footer="4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0110E" w14:textId="77777777" w:rsidR="00C274D9" w:rsidRDefault="00C274D9">
      <w:r>
        <w:rPr>
          <w:lang w:val="pl"/>
        </w:rPr>
        <w:separator/>
      </w:r>
    </w:p>
  </w:endnote>
  <w:endnote w:type="continuationSeparator" w:id="0">
    <w:p w14:paraId="5B110CC2" w14:textId="77777777" w:rsidR="00C274D9" w:rsidRDefault="00C274D9">
      <w:r>
        <w:rPr>
          <w:lang w:val="p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DE200" w14:textId="77777777" w:rsidR="0056155E" w:rsidRDefault="0056155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7EAC7" w14:textId="77777777" w:rsidR="00975206" w:rsidRDefault="00060075">
    <w:pPr>
      <w:pStyle w:val="Page"/>
      <w:framePr w:wrap="around"/>
    </w:pPr>
    <w:r>
      <w:rPr>
        <w:lang w:val="pl"/>
      </w:rPr>
      <w:fldChar w:fldCharType="begin"/>
    </w:r>
    <w:r w:rsidR="008B423F">
      <w:rPr>
        <w:lang w:val="pl"/>
      </w:rPr>
      <w:instrText xml:space="preserve"> PAGE  \* Arabic  \* MERGEFORMAT </w:instrText>
    </w:r>
    <w:r>
      <w:rPr>
        <w:lang w:val="pl"/>
      </w:rPr>
      <w:fldChar w:fldCharType="separate"/>
    </w:r>
    <w:r w:rsidR="00A2546B">
      <w:rPr>
        <w:noProof/>
        <w:lang w:val="pl"/>
      </w:rPr>
      <w:t>7</w:t>
    </w:r>
    <w:r>
      <w:rPr>
        <w:noProof/>
        <w:lang w:val="pl"/>
      </w:rPr>
      <w:fldChar w:fldCharType="end"/>
    </w:r>
  </w:p>
  <w:p w14:paraId="6606C44F" w14:textId="77777777" w:rsidR="00975206" w:rsidRDefault="00975206">
    <w:pPr>
      <w:pStyle w:val="NumPage"/>
      <w:framePr w:wrap="around"/>
    </w:pPr>
    <w:r>
      <w:rPr>
        <w:lang w:val="pl"/>
      </w:rPr>
      <w:t xml:space="preserve">| </w:t>
    </w:r>
    <w:fldSimple w:instr=" NUMPAGES  \* Arabic  \* MERGEFORMAT ">
      <w:r w:rsidR="00A2546B">
        <w:rPr>
          <w:noProof/>
          <w:lang w:val="pl"/>
        </w:rPr>
        <w:t>10</w:t>
      </w:r>
    </w:fldSimple>
  </w:p>
  <w:p w14:paraId="2CA5F9BF" w14:textId="77777777" w:rsidR="00975206" w:rsidRDefault="0097520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E1F1D" w14:textId="77777777" w:rsidR="0056155E" w:rsidRDefault="005615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7A3E9" w14:textId="77777777" w:rsidR="00C274D9" w:rsidRDefault="00C274D9">
      <w:r>
        <w:rPr>
          <w:lang w:val="pl"/>
        </w:rPr>
        <w:separator/>
      </w:r>
    </w:p>
  </w:footnote>
  <w:footnote w:type="continuationSeparator" w:id="0">
    <w:p w14:paraId="5C16D733" w14:textId="77777777" w:rsidR="00C274D9" w:rsidRDefault="00C274D9">
      <w:r>
        <w:rPr>
          <w:lang w:val="pl"/>
        </w:rPr>
        <w:continuationSeparator/>
      </w:r>
    </w:p>
  </w:footnote>
  <w:footnote w:id="1">
    <w:p w14:paraId="11B8BBFD" w14:textId="77777777" w:rsidR="004A6B7B" w:rsidRPr="006B4635" w:rsidRDefault="004A6B7B" w:rsidP="004A6B7B">
      <w:pPr>
        <w:pStyle w:val="FootnoteText1"/>
        <w:rPr>
          <w:lang w:val="sl-SI"/>
        </w:rPr>
      </w:pPr>
      <w:r>
        <w:rPr>
          <w:rStyle w:val="Odwoanieprzypisudolnego"/>
          <w:lang w:val="pl"/>
        </w:rPr>
        <w:footnoteRef/>
      </w:r>
      <w:r w:rsidRPr="00023F41">
        <w:rPr>
          <w:lang w:val="pl"/>
        </w:rPr>
        <w:t xml:space="preserve"> </w:t>
      </w:r>
      <w:r>
        <w:rPr>
          <w:lang w:val="pl"/>
        </w:rPr>
        <w:t xml:space="preserve">Komisja Europejska (2020): Sytuacja na rynku jaj w UE – Grupa Dialogu Obywatelskiego ds. Drobiu i Jaj. </w:t>
      </w:r>
    </w:p>
  </w:footnote>
  <w:footnote w:id="2">
    <w:p w14:paraId="77108304" w14:textId="77777777" w:rsidR="004A6B7B" w:rsidRPr="00982DA0" w:rsidRDefault="004A6B7B" w:rsidP="004A6B7B">
      <w:pPr>
        <w:pStyle w:val="FootnoteText1"/>
        <w:rPr>
          <w:lang w:val="sl-SI"/>
        </w:rPr>
      </w:pPr>
      <w:r>
        <w:rPr>
          <w:rStyle w:val="Odwoanieprzypisudolnego"/>
          <w:lang w:val="pl"/>
        </w:rPr>
        <w:footnoteRef/>
      </w:r>
      <w:r w:rsidRPr="00BC52E0">
        <w:rPr>
          <w:lang w:val="pl"/>
        </w:rPr>
        <w:t xml:space="preserve"> </w:t>
      </w:r>
      <w:r w:rsidRPr="00982DA0">
        <w:rPr>
          <w:lang w:val="pl"/>
        </w:rPr>
        <w:t>Komisja Europejska (2021): Sytuacja na rynku jaj w UE – grupa robocza ds. dialogu obywatelskiego ds. drobiu i jaj.</w:t>
      </w:r>
    </w:p>
  </w:footnote>
  <w:footnote w:id="3">
    <w:p w14:paraId="4F7F33CD" w14:textId="2C02B1B1" w:rsidR="00955FFF" w:rsidRPr="00982DA0" w:rsidRDefault="00955FFF" w:rsidP="00955FFF">
      <w:pPr>
        <w:pStyle w:val="Tekstprzypisudolnego"/>
        <w:rPr>
          <w:rFonts w:ascii="Times New Roman" w:hAnsi="Times New Roman"/>
          <w:lang w:val="en-US"/>
        </w:rPr>
      </w:pPr>
      <w:r w:rsidRPr="00982DA0">
        <w:rPr>
          <w:rStyle w:val="Odwoanieprzypisudolnego"/>
          <w:lang w:val="pl"/>
        </w:rPr>
        <w:footnoteRef/>
      </w:r>
      <w:r w:rsidRPr="00982DA0">
        <w:rPr>
          <w:lang w:val="pl"/>
        </w:rPr>
        <w:t xml:space="preserve"> Van </w:t>
      </w:r>
      <w:proofErr w:type="spellStart"/>
      <w:r w:rsidRPr="00982DA0">
        <w:rPr>
          <w:lang w:val="pl"/>
        </w:rPr>
        <w:t>Horne</w:t>
      </w:r>
      <w:proofErr w:type="spellEnd"/>
      <w:r w:rsidRPr="00982DA0">
        <w:rPr>
          <w:lang w:val="pl"/>
        </w:rPr>
        <w:t xml:space="preserve">, P. (2019): Konkurencyjność unijnego sektora jaj, rok bazowy 2017. </w:t>
      </w:r>
      <w:r w:rsidRPr="00BF17FE">
        <w:rPr>
          <w:lang w:val="en-GB"/>
        </w:rPr>
        <w:t>Wageningen, Wageningen Economic Research.</w:t>
      </w:r>
    </w:p>
  </w:footnote>
  <w:footnote w:id="4">
    <w:p w14:paraId="4F649DBD" w14:textId="77777777" w:rsidR="007D2A65" w:rsidRPr="002D651A" w:rsidRDefault="007D2A65" w:rsidP="007D2A65">
      <w:pPr>
        <w:pStyle w:val="Tekstprzypisudolnego"/>
        <w:rPr>
          <w:lang w:val="en-US"/>
        </w:rPr>
      </w:pPr>
      <w:r>
        <w:rPr>
          <w:rStyle w:val="Odwoanieprzypisudolnego"/>
          <w:lang w:val="pl"/>
        </w:rPr>
        <w:footnoteRef/>
      </w:r>
      <w:r w:rsidRPr="00BF17FE">
        <w:rPr>
          <w:lang w:val="en-GB"/>
        </w:rPr>
        <w:t xml:space="preserve"> Van Horne, P. (2019): </w:t>
      </w:r>
      <w:proofErr w:type="spellStart"/>
      <w:r w:rsidRPr="00BF17FE">
        <w:rPr>
          <w:lang w:val="en-GB"/>
        </w:rPr>
        <w:t>Konkurencyjność</w:t>
      </w:r>
      <w:proofErr w:type="spellEnd"/>
      <w:r w:rsidRPr="00BF17FE">
        <w:rPr>
          <w:lang w:val="en-GB"/>
        </w:rPr>
        <w:t xml:space="preserve"> </w:t>
      </w:r>
      <w:proofErr w:type="spellStart"/>
      <w:r w:rsidRPr="00BF17FE">
        <w:rPr>
          <w:lang w:val="en-GB"/>
        </w:rPr>
        <w:t>unijnego</w:t>
      </w:r>
      <w:proofErr w:type="spellEnd"/>
      <w:r w:rsidRPr="00BF17FE">
        <w:rPr>
          <w:lang w:val="en-GB"/>
        </w:rPr>
        <w:t xml:space="preserve"> </w:t>
      </w:r>
      <w:proofErr w:type="spellStart"/>
      <w:r w:rsidRPr="00BF17FE">
        <w:rPr>
          <w:lang w:val="en-GB"/>
        </w:rPr>
        <w:t>sektora</w:t>
      </w:r>
      <w:proofErr w:type="spellEnd"/>
      <w:r w:rsidRPr="00BF17FE">
        <w:rPr>
          <w:lang w:val="en-GB"/>
        </w:rPr>
        <w:t xml:space="preserve"> </w:t>
      </w:r>
      <w:proofErr w:type="spellStart"/>
      <w:r w:rsidRPr="00BF17FE">
        <w:rPr>
          <w:lang w:val="en-GB"/>
        </w:rPr>
        <w:t>jaj</w:t>
      </w:r>
      <w:proofErr w:type="spellEnd"/>
      <w:r w:rsidRPr="00BF17FE">
        <w:rPr>
          <w:lang w:val="en-GB"/>
        </w:rPr>
        <w:t xml:space="preserve">, </w:t>
      </w:r>
      <w:proofErr w:type="spellStart"/>
      <w:r w:rsidRPr="00BF17FE">
        <w:rPr>
          <w:lang w:val="en-GB"/>
        </w:rPr>
        <w:t>rok</w:t>
      </w:r>
      <w:proofErr w:type="spellEnd"/>
      <w:r w:rsidRPr="00BF17FE">
        <w:rPr>
          <w:lang w:val="en-GB"/>
        </w:rPr>
        <w:t xml:space="preserve"> </w:t>
      </w:r>
      <w:proofErr w:type="spellStart"/>
      <w:r w:rsidRPr="00BF17FE">
        <w:rPr>
          <w:lang w:val="en-GB"/>
        </w:rPr>
        <w:t>bazowy</w:t>
      </w:r>
      <w:proofErr w:type="spellEnd"/>
      <w:r w:rsidRPr="00BF17FE">
        <w:rPr>
          <w:lang w:val="en-GB"/>
        </w:rPr>
        <w:t xml:space="preserve"> 2017. Wageningen, Wageningen Economic Research.</w:t>
      </w:r>
    </w:p>
  </w:footnote>
  <w:footnote w:id="5">
    <w:p w14:paraId="5DF32958" w14:textId="77777777" w:rsidR="004A6B7B" w:rsidRPr="000277E9" w:rsidRDefault="004A6B7B" w:rsidP="004A6B7B">
      <w:pPr>
        <w:pStyle w:val="FootnoteText1"/>
        <w:rPr>
          <w:lang w:val="sl-SI"/>
        </w:rPr>
      </w:pPr>
      <w:r>
        <w:rPr>
          <w:rStyle w:val="Odwoanieprzypisudolnego"/>
          <w:lang w:val="pl"/>
        </w:rPr>
        <w:footnoteRef/>
      </w:r>
      <w:r w:rsidRPr="000277E9">
        <w:rPr>
          <w:lang w:val="pl"/>
        </w:rPr>
        <w:t xml:space="preserve"> </w:t>
      </w:r>
      <w:proofErr w:type="spellStart"/>
      <w:r>
        <w:rPr>
          <w:lang w:val="pl"/>
        </w:rPr>
        <w:t>Niekerk</w:t>
      </w:r>
      <w:proofErr w:type="spellEnd"/>
      <w:r>
        <w:rPr>
          <w:lang w:val="pl"/>
        </w:rPr>
        <w:t xml:space="preserve">, T. (2017): Zarządzanie stadami kur niosek z nienaruszonymi dziobami. </w:t>
      </w:r>
      <w:proofErr w:type="spellStart"/>
      <w:r>
        <w:rPr>
          <w:lang w:val="pl"/>
        </w:rPr>
        <w:t>Burleigh</w:t>
      </w:r>
      <w:proofErr w:type="spellEnd"/>
      <w:r>
        <w:rPr>
          <w:lang w:val="pl"/>
        </w:rPr>
        <w:t xml:space="preserve"> </w:t>
      </w:r>
      <w:proofErr w:type="spellStart"/>
      <w:r>
        <w:rPr>
          <w:lang w:val="pl"/>
        </w:rPr>
        <w:t>Dodds</w:t>
      </w:r>
      <w:proofErr w:type="spellEnd"/>
      <w:r>
        <w:rPr>
          <w:lang w:val="pl"/>
        </w:rPr>
        <w:t xml:space="preserve"> Science, WUR.</w:t>
      </w:r>
    </w:p>
  </w:footnote>
  <w:footnote w:id="6">
    <w:p w14:paraId="5486080F" w14:textId="77777777" w:rsidR="004A6B7B" w:rsidRPr="00BF17FE" w:rsidRDefault="004A6B7B" w:rsidP="004A6B7B">
      <w:pPr>
        <w:pStyle w:val="FootnoteText1"/>
        <w:rPr>
          <w:lang w:val="pl-PL"/>
        </w:rPr>
      </w:pPr>
      <w:r>
        <w:rPr>
          <w:rStyle w:val="Odwoanieprzypisudolnego"/>
          <w:lang w:val="pl"/>
        </w:rPr>
        <w:footnoteRef/>
      </w:r>
      <w:r w:rsidRPr="00E32AAE">
        <w:rPr>
          <w:lang w:val="pl"/>
        </w:rPr>
        <w:t xml:space="preserve"> Komisja Europejska (2018): Sprawozdanie </w:t>
      </w:r>
      <w:proofErr w:type="spellStart"/>
      <w:r w:rsidRPr="00E32AAE">
        <w:rPr>
          <w:lang w:val="pl"/>
        </w:rPr>
        <w:t>Komisji</w:t>
      </w:r>
      <w:r>
        <w:rPr>
          <w:lang w:val="pl"/>
        </w:rPr>
        <w:t>pominięcie</w:t>
      </w:r>
      <w:proofErr w:type="spellEnd"/>
      <w:r>
        <w:rPr>
          <w:lang w:val="pl"/>
        </w:rPr>
        <w:t xml:space="preserve"> Parlamentowi Europejskiemu i Radzie w sprawie </w:t>
      </w:r>
      <w:r w:rsidRPr="00E32AAE">
        <w:rPr>
          <w:lang w:val="pl"/>
        </w:rPr>
        <w:t>stosowania dyrektywy 2007/43/WE i jej wpływu na dobrostan kurcząt</w:t>
      </w:r>
      <w:r>
        <w:rPr>
          <w:lang w:val="pl"/>
        </w:rPr>
        <w:t xml:space="preserve"> </w:t>
      </w:r>
      <w:r w:rsidRPr="00E32AAE">
        <w:rPr>
          <w:lang w:val="pl"/>
        </w:rPr>
        <w:t>utrzymywane do produkcji mięsa, a także rozwój wskaźników dobrostanu</w:t>
      </w:r>
      <w:r>
        <w:rPr>
          <w:lang w:val="pl"/>
        </w:rPr>
        <w:t xml:space="preserve">. Bruksela. </w:t>
      </w:r>
    </w:p>
  </w:footnote>
  <w:footnote w:id="7">
    <w:p w14:paraId="34F0014A" w14:textId="77777777" w:rsidR="00232EAA" w:rsidRPr="00232EAA" w:rsidRDefault="00232EAA" w:rsidP="00232EAA">
      <w:pPr>
        <w:pStyle w:val="FootnoteText1"/>
        <w:rPr>
          <w:lang w:val="sl-SI"/>
        </w:rPr>
      </w:pPr>
      <w:r>
        <w:rPr>
          <w:rStyle w:val="Odwoanieprzypisudolnego"/>
          <w:lang w:val="pl"/>
        </w:rPr>
        <w:footnoteRef/>
      </w:r>
      <w:r w:rsidRPr="00232EAA">
        <w:rPr>
          <w:lang w:val="pl"/>
        </w:rPr>
        <w:t xml:space="preserve"> </w:t>
      </w:r>
      <w:r w:rsidRPr="00982DA0">
        <w:rPr>
          <w:lang w:val="pl"/>
        </w:rPr>
        <w:t xml:space="preserve">Komisja Europejska (2021): Sytuacja na rynku UE </w:t>
      </w:r>
      <w:r w:rsidR="000A61D1">
        <w:rPr>
          <w:lang w:val="pl"/>
        </w:rPr>
        <w:t>Mięso drobiowe</w:t>
      </w:r>
      <w:r w:rsidRPr="00982DA0">
        <w:rPr>
          <w:lang w:val="pl"/>
        </w:rPr>
        <w:t xml:space="preserve"> – Grupa Robocza ds. Dialogu Obywatelskiego ds. Drobiu i Jaj.</w:t>
      </w:r>
    </w:p>
  </w:footnote>
  <w:footnote w:id="8">
    <w:p w14:paraId="766E458D" w14:textId="77777777" w:rsidR="004A6B7B" w:rsidRPr="00BF17FE" w:rsidRDefault="004A6B7B" w:rsidP="004A6B7B">
      <w:pPr>
        <w:pStyle w:val="FootnoteText1"/>
        <w:rPr>
          <w:lang w:val="pl-PL"/>
        </w:rPr>
      </w:pPr>
      <w:r>
        <w:rPr>
          <w:rStyle w:val="Odwoanieprzypisudolnego"/>
          <w:lang w:val="pl"/>
        </w:rPr>
        <w:footnoteRef/>
      </w:r>
      <w:r w:rsidRPr="00681A85">
        <w:rPr>
          <w:lang w:val="pl"/>
        </w:rPr>
        <w:t xml:space="preserve"> </w:t>
      </w:r>
      <w:proofErr w:type="spellStart"/>
      <w:r w:rsidRPr="00681A85">
        <w:rPr>
          <w:lang w:val="pl"/>
        </w:rPr>
        <w:t>Isoyowati</w:t>
      </w:r>
      <w:proofErr w:type="spellEnd"/>
      <w:r w:rsidRPr="00681A85">
        <w:rPr>
          <w:lang w:val="pl"/>
        </w:rPr>
        <w:t xml:space="preserve"> i </w:t>
      </w:r>
      <w:proofErr w:type="spellStart"/>
      <w:r w:rsidRPr="00681A85">
        <w:rPr>
          <w:lang w:val="pl"/>
        </w:rPr>
        <w:t>Sumarmono</w:t>
      </w:r>
      <w:proofErr w:type="spellEnd"/>
      <w:r w:rsidRPr="00681A85">
        <w:rPr>
          <w:lang w:val="pl"/>
        </w:rPr>
        <w:t xml:space="preserve"> (2019): </w:t>
      </w:r>
      <w:proofErr w:type="spellStart"/>
      <w:r w:rsidRPr="00681A85">
        <w:rPr>
          <w:lang w:val="pl"/>
        </w:rPr>
        <w:t>Duck</w:t>
      </w:r>
      <w:proofErr w:type="spellEnd"/>
      <w:r w:rsidRPr="00681A85">
        <w:rPr>
          <w:lang w:val="pl"/>
        </w:rPr>
        <w:t xml:space="preserve"> </w:t>
      </w:r>
      <w:proofErr w:type="spellStart"/>
      <w:r w:rsidRPr="00681A85">
        <w:rPr>
          <w:lang w:val="pl"/>
        </w:rPr>
        <w:t>Porduction</w:t>
      </w:r>
      <w:proofErr w:type="spellEnd"/>
      <w:r w:rsidRPr="00681A85">
        <w:rPr>
          <w:lang w:val="pl"/>
        </w:rPr>
        <w:t xml:space="preserve"> dla dobrego bezpieczeństwa. </w:t>
      </w:r>
      <w:r w:rsidRPr="00E50094">
        <w:rPr>
          <w:lang w:val="pl"/>
        </w:rPr>
        <w:t>Nauki o Ziemi i Środowisku 372.</w:t>
      </w:r>
    </w:p>
  </w:footnote>
  <w:footnote w:id="9">
    <w:p w14:paraId="7F6F31F9" w14:textId="77777777" w:rsidR="000A61D1" w:rsidRPr="000A61D1" w:rsidRDefault="000A61D1" w:rsidP="000A61D1">
      <w:pPr>
        <w:pStyle w:val="FootnoteText1"/>
        <w:rPr>
          <w:lang w:val="sl-SI"/>
        </w:rPr>
      </w:pPr>
      <w:r>
        <w:rPr>
          <w:rStyle w:val="Odwoanieprzypisudolnego"/>
          <w:lang w:val="pl"/>
        </w:rPr>
        <w:footnoteRef/>
      </w:r>
      <w:r w:rsidR="00060075" w:rsidRPr="00963AE9">
        <w:rPr>
          <w:lang w:val="pl"/>
        </w:rPr>
        <w:t xml:space="preserve"> </w:t>
      </w:r>
      <w:r w:rsidRPr="00982DA0">
        <w:rPr>
          <w:lang w:val="pl"/>
        </w:rPr>
        <w:t xml:space="preserve">Komisja Europejska (2021): Sytuacja na rynku UE </w:t>
      </w:r>
      <w:r>
        <w:rPr>
          <w:lang w:val="pl"/>
        </w:rPr>
        <w:t>Mięso drobiowe</w:t>
      </w:r>
      <w:r w:rsidRPr="00982DA0">
        <w:rPr>
          <w:lang w:val="pl"/>
        </w:rPr>
        <w:t xml:space="preserve"> – Grupa Robocza ds. Dialogu Obywatelskiego ds. Drobiu i Jaj.</w:t>
      </w:r>
    </w:p>
  </w:footnote>
  <w:footnote w:id="10">
    <w:p w14:paraId="435D1FE2" w14:textId="77777777" w:rsidR="00841A9F" w:rsidRPr="00BF17FE" w:rsidRDefault="00841A9F" w:rsidP="00841A9F">
      <w:pPr>
        <w:pStyle w:val="Tekstprzypisudolnego"/>
        <w:rPr>
          <w:lang w:val="pl-PL"/>
        </w:rPr>
      </w:pPr>
      <w:r>
        <w:rPr>
          <w:rStyle w:val="Odwoanieprzypisudolnego"/>
          <w:lang w:val="pl"/>
        </w:rPr>
        <w:footnoteRef/>
      </w:r>
      <w:r w:rsidRPr="00841A9F">
        <w:rPr>
          <w:lang w:val="pl"/>
        </w:rPr>
        <w:t xml:space="preserve"> </w:t>
      </w:r>
      <w:proofErr w:type="spellStart"/>
      <w:r w:rsidRPr="00841A9F">
        <w:rPr>
          <w:lang w:val="pl"/>
        </w:rPr>
        <w:t>FurEurope</w:t>
      </w:r>
      <w:proofErr w:type="spellEnd"/>
    </w:p>
  </w:footnote>
  <w:footnote w:id="11">
    <w:p w14:paraId="669CFB17" w14:textId="77777777" w:rsidR="00841A9F" w:rsidRPr="00BF17FE" w:rsidRDefault="00841A9F" w:rsidP="00841A9F">
      <w:pPr>
        <w:spacing w:line="240" w:lineRule="auto"/>
        <w:rPr>
          <w:color w:val="000000"/>
          <w:sz w:val="20"/>
          <w:szCs w:val="20"/>
          <w:lang w:val="pl-PL"/>
        </w:rPr>
      </w:pPr>
      <w:r>
        <w:rPr>
          <w:vertAlign w:val="superscript"/>
          <w:lang w:val="pl"/>
        </w:rPr>
        <w:footnoteRef/>
      </w:r>
      <w:r>
        <w:rPr>
          <w:color w:val="000000"/>
          <w:sz w:val="20"/>
          <w:szCs w:val="20"/>
          <w:lang w:val="pl"/>
        </w:rPr>
        <w:t xml:space="preserve"> dr Hansen H.O.,</w:t>
      </w:r>
      <w:r>
        <w:rPr>
          <w:b/>
          <w:color w:val="000000"/>
          <w:sz w:val="20"/>
          <w:szCs w:val="20"/>
          <w:lang w:val="pl"/>
        </w:rPr>
        <w:t xml:space="preserve"> </w:t>
      </w:r>
      <w:r>
        <w:rPr>
          <w:color w:val="000000"/>
          <w:sz w:val="20"/>
          <w:szCs w:val="20"/>
          <w:lang w:val="pl"/>
        </w:rPr>
        <w:t>Duński przemysł futrzarski - struktura, konkurencyjność i pozycja międzynarodowa, DJOEF Publishing, 2016.</w:t>
      </w:r>
    </w:p>
  </w:footnote>
  <w:footnote w:id="12">
    <w:p w14:paraId="2F5980F7" w14:textId="77777777" w:rsidR="00841A9F" w:rsidRDefault="00841A9F" w:rsidP="00841A9F">
      <w:pPr>
        <w:spacing w:line="240" w:lineRule="auto"/>
        <w:rPr>
          <w:color w:val="000000"/>
          <w:sz w:val="20"/>
          <w:szCs w:val="20"/>
          <w:lang w:val="en-US"/>
        </w:rPr>
      </w:pPr>
      <w:r>
        <w:rPr>
          <w:vertAlign w:val="superscript"/>
          <w:lang w:val="pl"/>
        </w:rPr>
        <w:footnoteRef/>
      </w:r>
      <w:r>
        <w:rPr>
          <w:color w:val="000000"/>
          <w:sz w:val="20"/>
          <w:szCs w:val="20"/>
          <w:lang w:val="pl"/>
        </w:rPr>
        <w:t xml:space="preserve"> Europejski przemysł norek: ocena skutków społeczno-gospodarczych. Dr Hansen H.O., </w:t>
      </w:r>
      <w:proofErr w:type="spellStart"/>
      <w:r>
        <w:rPr>
          <w:color w:val="000000"/>
          <w:sz w:val="20"/>
          <w:szCs w:val="20"/>
          <w:lang w:val="pl"/>
        </w:rPr>
        <w:t>Unversity</w:t>
      </w:r>
      <w:proofErr w:type="spellEnd"/>
      <w:r>
        <w:rPr>
          <w:color w:val="000000"/>
          <w:sz w:val="20"/>
          <w:szCs w:val="20"/>
          <w:lang w:val="pl"/>
        </w:rPr>
        <w:t xml:space="preserve"> of </w:t>
      </w:r>
      <w:proofErr w:type="spellStart"/>
      <w:r>
        <w:rPr>
          <w:color w:val="000000"/>
          <w:sz w:val="20"/>
          <w:szCs w:val="20"/>
          <w:lang w:val="pl"/>
        </w:rPr>
        <w:t>Copenhagen</w:t>
      </w:r>
      <w:proofErr w:type="spellEnd"/>
      <w:r>
        <w:rPr>
          <w:color w:val="000000"/>
          <w:sz w:val="20"/>
          <w:szCs w:val="20"/>
          <w:lang w:val="pl"/>
        </w:rPr>
        <w:t>,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7BE78" w14:textId="3FA38A06" w:rsidR="0056155E" w:rsidRDefault="0056155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D9411" w14:textId="7FF2EB02" w:rsidR="0056155E" w:rsidRDefault="0056155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BEE48" w14:textId="515DBA4F" w:rsidR="00975206" w:rsidRDefault="00BF17FE">
    <w:pPr>
      <w:pStyle w:val="Nagwek"/>
    </w:pPr>
    <w:r>
      <w:rPr>
        <w:noProof/>
        <w:lang w:val="pl"/>
      </w:rPr>
      <mc:AlternateContent>
        <mc:Choice Requires="wps">
          <w:drawing>
            <wp:anchor distT="0" distB="0" distL="114300" distR="114300" simplePos="0" relativeHeight="251658240" behindDoc="0" locked="1" layoutInCell="1" allowOverlap="1" wp14:anchorId="6FA0B727" wp14:editId="666BD1D5">
              <wp:simplePos x="0" y="0"/>
              <wp:positionH relativeFrom="page">
                <wp:posOffset>180340</wp:posOffset>
              </wp:positionH>
              <wp:positionV relativeFrom="page">
                <wp:posOffset>5345430</wp:posOffset>
              </wp:positionV>
              <wp:extent cx="179705" cy="0"/>
              <wp:effectExtent l="8890" t="11430" r="11430"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1905">
                        <a:solidFill>
                          <a:srgbClr val="6B721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ED782"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420.9pt" to="28.35pt,4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" strokecolor="#6b7213" strokeweight=".15pt">
              <w10:wrap anchorx="page" anchory="page"/>
              <w10:anchorlock/>
            </v:line>
          </w:pict>
        </mc:Fallback>
      </mc:AlternateContent>
    </w:r>
    <w:r>
      <w:rPr>
        <w:noProof/>
        <w:lang w:val="pl"/>
      </w:rPr>
      <mc:AlternateContent>
        <mc:Choice Requires="wps">
          <w:drawing>
            <wp:anchor distT="0" distB="0" distL="114300" distR="114300" simplePos="0" relativeHeight="251657216" behindDoc="0" locked="1" layoutInCell="1" allowOverlap="1" wp14:anchorId="039F4F7A" wp14:editId="5522DCAA">
              <wp:simplePos x="0" y="0"/>
              <wp:positionH relativeFrom="page">
                <wp:posOffset>180340</wp:posOffset>
              </wp:positionH>
              <wp:positionV relativeFrom="page">
                <wp:posOffset>3779520</wp:posOffset>
              </wp:positionV>
              <wp:extent cx="179705" cy="0"/>
              <wp:effectExtent l="8890" t="7620" r="11430" b="1143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1905">
                        <a:solidFill>
                          <a:srgbClr val="CA6D0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C1B24" id="Line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297.6pt" to="28.35pt,29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" strokecolor="#ca6d05" strokeweight=".1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32D9"/>
    <w:multiLevelType w:val="hybridMultilevel"/>
    <w:tmpl w:val="E9C83C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A2973F7"/>
    <w:multiLevelType w:val="hybridMultilevel"/>
    <w:tmpl w:val="B272476C"/>
    <w:lvl w:ilvl="0" w:tplc="8F4829F0">
      <w:start w:val="1"/>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D040588"/>
    <w:multiLevelType w:val="multilevel"/>
    <w:tmpl w:val="C9741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B07DD"/>
    <w:multiLevelType w:val="hybridMultilevel"/>
    <w:tmpl w:val="069E146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23FA7267"/>
    <w:multiLevelType w:val="hybridMultilevel"/>
    <w:tmpl w:val="6D443E9C"/>
    <w:lvl w:ilvl="0" w:tplc="8F4829F0">
      <w:start w:val="1"/>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0E507F9"/>
    <w:multiLevelType w:val="hybridMultilevel"/>
    <w:tmpl w:val="5B40FD94"/>
    <w:lvl w:ilvl="0" w:tplc="C0C6F018">
      <w:numFmt w:val="bullet"/>
      <w:lvlText w:val="-"/>
      <w:lvlJc w:val="left"/>
      <w:pPr>
        <w:ind w:left="720" w:hanging="360"/>
      </w:pPr>
      <w:rPr>
        <w:rFonts w:ascii="Georgia" w:eastAsia="Calibri" w:hAnsi="Georgi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48334DE"/>
    <w:multiLevelType w:val="hybridMultilevel"/>
    <w:tmpl w:val="BE96368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95F1EB3"/>
    <w:multiLevelType w:val="hybridMultilevel"/>
    <w:tmpl w:val="DDDE358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8" w15:restartNumberingAfterBreak="0">
    <w:nsid w:val="4BF715D5"/>
    <w:multiLevelType w:val="hybridMultilevel"/>
    <w:tmpl w:val="8F727F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C163568"/>
    <w:multiLevelType w:val="multilevel"/>
    <w:tmpl w:val="410CB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990F79"/>
    <w:multiLevelType w:val="hybridMultilevel"/>
    <w:tmpl w:val="930E0D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6EDF3D38"/>
    <w:multiLevelType w:val="hybridMultilevel"/>
    <w:tmpl w:val="B8202B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77A71AC1"/>
    <w:multiLevelType w:val="hybridMultilevel"/>
    <w:tmpl w:val="45ECC7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1"/>
  </w:num>
  <w:num w:numId="4">
    <w:abstractNumId w:val="3"/>
  </w:num>
  <w:num w:numId="5">
    <w:abstractNumId w:val="4"/>
  </w:num>
  <w:num w:numId="6">
    <w:abstractNumId w:val="1"/>
  </w:num>
  <w:num w:numId="7">
    <w:abstractNumId w:val="0"/>
  </w:num>
  <w:num w:numId="8">
    <w:abstractNumId w:val="9"/>
  </w:num>
  <w:num w:numId="9">
    <w:abstractNumId w:val="8"/>
  </w:num>
  <w:num w:numId="10">
    <w:abstractNumId w:val="12"/>
  </w:num>
  <w:num w:numId="11">
    <w:abstractNumId w:val="10"/>
  </w:num>
  <w:num w:numId="12">
    <w:abstractNumId w:val="0"/>
  </w:num>
  <w:num w:numId="13">
    <w:abstractNumId w:val="6"/>
  </w:num>
  <w:num w:numId="14">
    <w:abstractNumId w:val="5"/>
  </w:num>
  <w:num w:numId="15">
    <w:abstractNumId w:val="7"/>
  </w:num>
  <w:num w:numId="16">
    <w:abstractNumId w:val="12"/>
  </w:num>
  <w:num w:numId="17">
    <w:abstractNumId w:val="2"/>
  </w:num>
  <w:num w:numId="18">
    <w:abstractNumId w:val="7"/>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A0NTUyMjAyNTM3NbdQ0lEKTi0uzszPAykwrgUAXLUFgSwAAAA="/>
  </w:docVars>
  <w:rsids>
    <w:rsidRoot w:val="00726DAF"/>
    <w:rsid w:val="000504D8"/>
    <w:rsid w:val="00060075"/>
    <w:rsid w:val="00093F57"/>
    <w:rsid w:val="000A61D1"/>
    <w:rsid w:val="000F3750"/>
    <w:rsid w:val="00101C5F"/>
    <w:rsid w:val="00127B35"/>
    <w:rsid w:val="00131BE1"/>
    <w:rsid w:val="00151756"/>
    <w:rsid w:val="001552DA"/>
    <w:rsid w:val="0016027C"/>
    <w:rsid w:val="00160602"/>
    <w:rsid w:val="00165A20"/>
    <w:rsid w:val="0017761F"/>
    <w:rsid w:val="001808C6"/>
    <w:rsid w:val="001B500F"/>
    <w:rsid w:val="001D2686"/>
    <w:rsid w:val="001D6A20"/>
    <w:rsid w:val="001E07FF"/>
    <w:rsid w:val="0020404E"/>
    <w:rsid w:val="002078EF"/>
    <w:rsid w:val="00232EAA"/>
    <w:rsid w:val="0026438A"/>
    <w:rsid w:val="00292912"/>
    <w:rsid w:val="00294AB2"/>
    <w:rsid w:val="002A4C57"/>
    <w:rsid w:val="002D651A"/>
    <w:rsid w:val="002E395F"/>
    <w:rsid w:val="002E58C6"/>
    <w:rsid w:val="0032356D"/>
    <w:rsid w:val="003525AA"/>
    <w:rsid w:val="00353157"/>
    <w:rsid w:val="003805F2"/>
    <w:rsid w:val="00396B85"/>
    <w:rsid w:val="00396BAC"/>
    <w:rsid w:val="003A21CC"/>
    <w:rsid w:val="003B6B5E"/>
    <w:rsid w:val="003C4022"/>
    <w:rsid w:val="003D2AA2"/>
    <w:rsid w:val="003D6C0D"/>
    <w:rsid w:val="003E092C"/>
    <w:rsid w:val="003F40F3"/>
    <w:rsid w:val="00403BB0"/>
    <w:rsid w:val="00405810"/>
    <w:rsid w:val="00436671"/>
    <w:rsid w:val="00436BC8"/>
    <w:rsid w:val="00443AF5"/>
    <w:rsid w:val="004550E9"/>
    <w:rsid w:val="00476655"/>
    <w:rsid w:val="004A6B7B"/>
    <w:rsid w:val="004B4470"/>
    <w:rsid w:val="004B7C77"/>
    <w:rsid w:val="004D4463"/>
    <w:rsid w:val="004E04B9"/>
    <w:rsid w:val="0052600A"/>
    <w:rsid w:val="00532438"/>
    <w:rsid w:val="0056155E"/>
    <w:rsid w:val="0057426E"/>
    <w:rsid w:val="00583A1E"/>
    <w:rsid w:val="005848E3"/>
    <w:rsid w:val="00595C23"/>
    <w:rsid w:val="005975F9"/>
    <w:rsid w:val="005C32B9"/>
    <w:rsid w:val="005E1193"/>
    <w:rsid w:val="00606FBF"/>
    <w:rsid w:val="0065294A"/>
    <w:rsid w:val="006610DC"/>
    <w:rsid w:val="0069738C"/>
    <w:rsid w:val="006D14AE"/>
    <w:rsid w:val="007056A9"/>
    <w:rsid w:val="00723198"/>
    <w:rsid w:val="00723FDD"/>
    <w:rsid w:val="007262BC"/>
    <w:rsid w:val="00726DAF"/>
    <w:rsid w:val="007619FD"/>
    <w:rsid w:val="00761EDE"/>
    <w:rsid w:val="00783AEB"/>
    <w:rsid w:val="00785A03"/>
    <w:rsid w:val="00790D99"/>
    <w:rsid w:val="007A0015"/>
    <w:rsid w:val="007A2409"/>
    <w:rsid w:val="007A32B9"/>
    <w:rsid w:val="007B07FF"/>
    <w:rsid w:val="007D2A65"/>
    <w:rsid w:val="007E2E20"/>
    <w:rsid w:val="007E3842"/>
    <w:rsid w:val="00801521"/>
    <w:rsid w:val="00813AD5"/>
    <w:rsid w:val="00814431"/>
    <w:rsid w:val="00841A9F"/>
    <w:rsid w:val="00886BC1"/>
    <w:rsid w:val="008A171E"/>
    <w:rsid w:val="008B423F"/>
    <w:rsid w:val="008E6BB3"/>
    <w:rsid w:val="00902A74"/>
    <w:rsid w:val="00906554"/>
    <w:rsid w:val="009109F9"/>
    <w:rsid w:val="00953F6E"/>
    <w:rsid w:val="00955FFF"/>
    <w:rsid w:val="00960033"/>
    <w:rsid w:val="00963AE9"/>
    <w:rsid w:val="00964590"/>
    <w:rsid w:val="00972CFB"/>
    <w:rsid w:val="00975206"/>
    <w:rsid w:val="00976F1B"/>
    <w:rsid w:val="00982DA0"/>
    <w:rsid w:val="009B0972"/>
    <w:rsid w:val="009B5C11"/>
    <w:rsid w:val="009C0DA0"/>
    <w:rsid w:val="009C3F22"/>
    <w:rsid w:val="009D2572"/>
    <w:rsid w:val="009F12AD"/>
    <w:rsid w:val="00A13CDE"/>
    <w:rsid w:val="00A2546B"/>
    <w:rsid w:val="00A27C10"/>
    <w:rsid w:val="00A526A2"/>
    <w:rsid w:val="00A675E8"/>
    <w:rsid w:val="00A76728"/>
    <w:rsid w:val="00A817B6"/>
    <w:rsid w:val="00A83F21"/>
    <w:rsid w:val="00A852E5"/>
    <w:rsid w:val="00A97FDC"/>
    <w:rsid w:val="00AA24B9"/>
    <w:rsid w:val="00AB75D0"/>
    <w:rsid w:val="00AB7C22"/>
    <w:rsid w:val="00AC2AAA"/>
    <w:rsid w:val="00AC2CB1"/>
    <w:rsid w:val="00AE0BEA"/>
    <w:rsid w:val="00AE14BE"/>
    <w:rsid w:val="00AE5053"/>
    <w:rsid w:val="00B122DC"/>
    <w:rsid w:val="00B14FDE"/>
    <w:rsid w:val="00B1567A"/>
    <w:rsid w:val="00B202B2"/>
    <w:rsid w:val="00B60757"/>
    <w:rsid w:val="00B64B39"/>
    <w:rsid w:val="00B64EE0"/>
    <w:rsid w:val="00B80717"/>
    <w:rsid w:val="00BA2A53"/>
    <w:rsid w:val="00BE2219"/>
    <w:rsid w:val="00BF1326"/>
    <w:rsid w:val="00BF17FE"/>
    <w:rsid w:val="00C25357"/>
    <w:rsid w:val="00C274D9"/>
    <w:rsid w:val="00C312DC"/>
    <w:rsid w:val="00C42606"/>
    <w:rsid w:val="00C81820"/>
    <w:rsid w:val="00C8552C"/>
    <w:rsid w:val="00C8725E"/>
    <w:rsid w:val="00C9024E"/>
    <w:rsid w:val="00CB7569"/>
    <w:rsid w:val="00CD06D3"/>
    <w:rsid w:val="00CD1BFF"/>
    <w:rsid w:val="00CD5024"/>
    <w:rsid w:val="00D24C21"/>
    <w:rsid w:val="00D3095C"/>
    <w:rsid w:val="00D34C9E"/>
    <w:rsid w:val="00D431DC"/>
    <w:rsid w:val="00D504EC"/>
    <w:rsid w:val="00D52ABC"/>
    <w:rsid w:val="00D670B7"/>
    <w:rsid w:val="00D6762B"/>
    <w:rsid w:val="00D94CFA"/>
    <w:rsid w:val="00DA19DE"/>
    <w:rsid w:val="00DA57AA"/>
    <w:rsid w:val="00DB56A2"/>
    <w:rsid w:val="00E14631"/>
    <w:rsid w:val="00E45B89"/>
    <w:rsid w:val="00E6255D"/>
    <w:rsid w:val="00E72E7A"/>
    <w:rsid w:val="00E832EA"/>
    <w:rsid w:val="00EA20A6"/>
    <w:rsid w:val="00EA6FE2"/>
    <w:rsid w:val="00EE69C9"/>
    <w:rsid w:val="00EF513C"/>
    <w:rsid w:val="00EF65E6"/>
    <w:rsid w:val="00F31280"/>
    <w:rsid w:val="00F56364"/>
    <w:rsid w:val="00F70873"/>
    <w:rsid w:val="00F85B2A"/>
    <w:rsid w:val="00F85F6C"/>
    <w:rsid w:val="00FA36BF"/>
    <w:rsid w:val="00FC5692"/>
    <w:rsid w:val="00FD770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6DC98"/>
  <w15:docId w15:val="{64C0A221-19AA-41E2-A16C-5E2E0EB2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EF65E6"/>
    <w:pPr>
      <w:spacing w:line="260" w:lineRule="atLeast"/>
    </w:pPr>
    <w:rPr>
      <w:rFonts w:ascii="Georgia" w:hAnsi="Georgia"/>
      <w:kern w:val="4"/>
      <w:sz w:val="21"/>
      <w:szCs w:val="24"/>
    </w:rPr>
  </w:style>
  <w:style w:type="paragraph" w:styleId="Nagwek1">
    <w:name w:val="heading 1"/>
    <w:basedOn w:val="Normalny"/>
    <w:next w:val="Normalny"/>
    <w:qFormat/>
    <w:rsid w:val="000F3750"/>
    <w:pPr>
      <w:keepNext/>
      <w:keepLines/>
      <w:spacing w:before="240" w:after="240" w:line="240" w:lineRule="auto"/>
      <w:jc w:val="both"/>
      <w:outlineLvl w:val="0"/>
    </w:pPr>
    <w:rPr>
      <w:b/>
      <w:caps/>
      <w:kern w:val="28"/>
      <w:sz w:val="24"/>
      <w:szCs w:val="20"/>
      <w:lang w:eastAsia="en-US"/>
    </w:rPr>
  </w:style>
  <w:style w:type="paragraph" w:styleId="Nagwek2">
    <w:name w:val="heading 2"/>
    <w:basedOn w:val="Nagwek1"/>
    <w:next w:val="Normalny"/>
    <w:qFormat/>
    <w:rsid w:val="000F3750"/>
    <w:pPr>
      <w:ind w:left="720" w:hanging="720"/>
      <w:outlineLvl w:val="1"/>
    </w:pPr>
    <w:rPr>
      <w:i/>
      <w:caps w:val="0"/>
    </w:rPr>
  </w:style>
  <w:style w:type="paragraph" w:styleId="Nagwek3">
    <w:name w:val="heading 3"/>
    <w:basedOn w:val="Nagwek2"/>
    <w:next w:val="Normalny"/>
    <w:qFormat/>
    <w:rsid w:val="000F3750"/>
    <w:pPr>
      <w:ind w:left="1440"/>
      <w:outlineLvl w:val="2"/>
    </w:pPr>
    <w:rPr>
      <w:i w:val="0"/>
      <w:sz w:val="21"/>
    </w:rPr>
  </w:style>
  <w:style w:type="paragraph" w:styleId="Nagwek4">
    <w:name w:val="heading 4"/>
    <w:basedOn w:val="Nagwek3"/>
    <w:next w:val="Normalny"/>
    <w:qFormat/>
    <w:rsid w:val="00AA24B9"/>
    <w:pPr>
      <w:outlineLvl w:val="3"/>
    </w:pPr>
  </w:style>
  <w:style w:type="paragraph" w:styleId="Nagwek5">
    <w:name w:val="heading 5"/>
    <w:basedOn w:val="Nagwek4"/>
    <w:next w:val="Nagwek4"/>
    <w:qFormat/>
    <w:rsid w:val="00AA24B9"/>
    <w:pPr>
      <w:outlineLvl w:val="4"/>
    </w:pPr>
  </w:style>
  <w:style w:type="paragraph" w:styleId="Nagwek6">
    <w:name w:val="heading 6"/>
    <w:basedOn w:val="Nagwek5"/>
    <w:next w:val="Normalny"/>
    <w:qFormat/>
    <w:rsid w:val="00AA24B9"/>
    <w:pPr>
      <w:outlineLvl w:val="5"/>
    </w:pPr>
  </w:style>
  <w:style w:type="paragraph" w:styleId="Nagwek7">
    <w:name w:val="heading 7"/>
    <w:basedOn w:val="Nagwek6"/>
    <w:next w:val="Normalny"/>
    <w:qFormat/>
    <w:rsid w:val="00AA24B9"/>
    <w:pPr>
      <w:outlineLvl w:val="6"/>
    </w:pPr>
  </w:style>
  <w:style w:type="paragraph" w:styleId="Nagwek8">
    <w:name w:val="heading 8"/>
    <w:basedOn w:val="Nagwek7"/>
    <w:next w:val="Normalny"/>
    <w:qFormat/>
    <w:rsid w:val="00AA24B9"/>
    <w:pPr>
      <w:outlineLvl w:val="7"/>
    </w:pPr>
  </w:style>
  <w:style w:type="paragraph" w:styleId="Nagwek9">
    <w:name w:val="heading 9"/>
    <w:basedOn w:val="Nagwek8"/>
    <w:next w:val="Normalny"/>
    <w:qFormat/>
    <w:rsid w:val="00AA24B9"/>
    <w:pPr>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726DAF"/>
    <w:pPr>
      <w:tabs>
        <w:tab w:val="center" w:pos="4536"/>
        <w:tab w:val="right" w:pos="9072"/>
      </w:tabs>
    </w:pPr>
  </w:style>
  <w:style w:type="paragraph" w:styleId="Stopka">
    <w:name w:val="footer"/>
    <w:basedOn w:val="Normalny"/>
    <w:rsid w:val="00726DAF"/>
    <w:pPr>
      <w:tabs>
        <w:tab w:val="center" w:pos="4536"/>
        <w:tab w:val="right" w:pos="9072"/>
      </w:tabs>
      <w:spacing w:line="240" w:lineRule="atLeast"/>
    </w:pPr>
    <w:rPr>
      <w:rFonts w:ascii="Tahoma" w:hAnsi="Tahoma"/>
      <w:noProof/>
      <w:sz w:val="16"/>
    </w:rPr>
  </w:style>
  <w:style w:type="table" w:styleId="Tabela-Siatka">
    <w:name w:val="Table Grid"/>
    <w:basedOn w:val="Standardowy"/>
    <w:rsid w:val="00726DA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a">
    <w:name w:val="Pagina"/>
    <w:basedOn w:val="Normalny"/>
    <w:rsid w:val="00726DAF"/>
    <w:pPr>
      <w:framePr w:w="709" w:h="312" w:hRule="exact" w:hSpace="181" w:wrap="around" w:vAnchor="page" w:hAnchor="page" w:x="10689" w:y="15401" w:anchorLock="1"/>
    </w:pPr>
  </w:style>
  <w:style w:type="paragraph" w:customStyle="1" w:styleId="Page">
    <w:name w:val="Page"/>
    <w:basedOn w:val="Pagina"/>
    <w:rsid w:val="00726DAF"/>
    <w:pPr>
      <w:framePr w:wrap="around" w:x="10060"/>
      <w:jc w:val="right"/>
    </w:pPr>
  </w:style>
  <w:style w:type="paragraph" w:customStyle="1" w:styleId="NumPage">
    <w:name w:val="NumPage"/>
    <w:basedOn w:val="Pagina"/>
    <w:rsid w:val="00726DAF"/>
    <w:pPr>
      <w:framePr w:wrap="around" w:x="10819"/>
    </w:pPr>
  </w:style>
  <w:style w:type="paragraph" w:customStyle="1" w:styleId="Subject">
    <w:name w:val="Subject"/>
    <w:basedOn w:val="Normalny"/>
    <w:rsid w:val="00726DAF"/>
    <w:rPr>
      <w:b/>
    </w:rPr>
  </w:style>
  <w:style w:type="paragraph" w:customStyle="1" w:styleId="white">
    <w:name w:val="white"/>
    <w:basedOn w:val="Normalny"/>
    <w:rsid w:val="00726DAF"/>
    <w:pPr>
      <w:spacing w:line="240" w:lineRule="auto"/>
    </w:pPr>
    <w:rPr>
      <w:color w:val="FFFFFF"/>
      <w:sz w:val="2"/>
      <w:szCs w:val="2"/>
    </w:rPr>
  </w:style>
  <w:style w:type="paragraph" w:styleId="Tekstdymka">
    <w:name w:val="Balloon Text"/>
    <w:basedOn w:val="Normalny"/>
    <w:rsid w:val="00726DAF"/>
    <w:rPr>
      <w:rFonts w:ascii="Tahoma" w:hAnsi="Tahoma" w:cs="Tahoma"/>
      <w:sz w:val="16"/>
      <w:szCs w:val="16"/>
    </w:rPr>
  </w:style>
  <w:style w:type="paragraph" w:customStyle="1" w:styleId="Address">
    <w:name w:val="Address"/>
    <w:basedOn w:val="Normalny"/>
    <w:rsid w:val="00AC2AAA"/>
    <w:pPr>
      <w:keepLines/>
      <w:spacing w:after="120" w:line="240" w:lineRule="auto"/>
      <w:ind w:left="5954"/>
      <w:jc w:val="both"/>
    </w:pPr>
    <w:rPr>
      <w:kern w:val="22"/>
      <w:szCs w:val="20"/>
      <w:lang w:eastAsia="en-US"/>
    </w:rPr>
  </w:style>
  <w:style w:type="paragraph" w:customStyle="1" w:styleId="DocumentID">
    <w:name w:val="Document ID"/>
    <w:basedOn w:val="Normalny"/>
    <w:rsid w:val="00AA24B9"/>
    <w:pPr>
      <w:keepLines/>
      <w:tabs>
        <w:tab w:val="left" w:pos="5103"/>
      </w:tabs>
      <w:spacing w:after="120" w:line="240" w:lineRule="auto"/>
      <w:jc w:val="both"/>
    </w:pPr>
    <w:rPr>
      <w:kern w:val="28"/>
      <w:sz w:val="22"/>
      <w:szCs w:val="20"/>
      <w:lang w:eastAsia="en-US"/>
    </w:rPr>
  </w:style>
  <w:style w:type="paragraph" w:customStyle="1" w:styleId="DoubleSignature">
    <w:name w:val="DoubleSignature"/>
    <w:basedOn w:val="Address"/>
    <w:rsid w:val="009B0972"/>
    <w:pPr>
      <w:tabs>
        <w:tab w:val="left" w:pos="5103"/>
      </w:tabs>
      <w:ind w:left="0"/>
    </w:pPr>
  </w:style>
  <w:style w:type="paragraph" w:customStyle="1" w:styleId="FaxHeader">
    <w:name w:val="Fax Header"/>
    <w:basedOn w:val="Normalny"/>
    <w:next w:val="Normalny"/>
    <w:rsid w:val="009B0972"/>
    <w:pPr>
      <w:keepLines/>
      <w:spacing w:before="120" w:after="120" w:line="240" w:lineRule="auto"/>
      <w:jc w:val="both"/>
    </w:pPr>
    <w:rPr>
      <w:kern w:val="28"/>
      <w:szCs w:val="20"/>
      <w:lang w:eastAsia="en-US"/>
    </w:rPr>
  </w:style>
  <w:style w:type="paragraph" w:customStyle="1" w:styleId="Logo">
    <w:name w:val="Logo"/>
    <w:basedOn w:val="Normalny"/>
    <w:rsid w:val="009B0972"/>
    <w:pPr>
      <w:keepLines/>
      <w:framePr w:w="10773" w:wrap="notBeside" w:vAnchor="page" w:hAnchor="page" w:xAlign="center" w:y="568"/>
      <w:spacing w:after="120" w:line="240" w:lineRule="auto"/>
      <w:jc w:val="center"/>
    </w:pPr>
    <w:rPr>
      <w:kern w:val="28"/>
      <w:szCs w:val="20"/>
      <w:lang w:eastAsia="en-US"/>
    </w:rPr>
  </w:style>
  <w:style w:type="paragraph" w:styleId="Podtytu">
    <w:name w:val="Subtitle"/>
    <w:basedOn w:val="Tytu"/>
    <w:qFormat/>
    <w:rsid w:val="000F3750"/>
    <w:pPr>
      <w:spacing w:before="0"/>
    </w:pPr>
    <w:rPr>
      <w:bCs/>
      <w:i/>
      <w:sz w:val="28"/>
    </w:rPr>
  </w:style>
  <w:style w:type="paragraph" w:styleId="Tytu">
    <w:name w:val="Title"/>
    <w:basedOn w:val="Normalny"/>
    <w:qFormat/>
    <w:rsid w:val="000F3750"/>
    <w:pPr>
      <w:keepLines/>
      <w:spacing w:before="240" w:after="240" w:line="240" w:lineRule="auto"/>
      <w:jc w:val="center"/>
    </w:pPr>
    <w:rPr>
      <w:b/>
      <w:caps/>
      <w:kern w:val="28"/>
      <w:sz w:val="32"/>
      <w:szCs w:val="20"/>
      <w:lang w:eastAsia="en-US"/>
    </w:rPr>
  </w:style>
  <w:style w:type="paragraph" w:customStyle="1" w:styleId="ListParagraph1">
    <w:name w:val="List Paragraph1"/>
    <w:basedOn w:val="Normalny"/>
    <w:next w:val="Akapitzlist"/>
    <w:rsid w:val="004A6B7B"/>
    <w:pPr>
      <w:spacing w:after="160" w:line="259" w:lineRule="auto"/>
      <w:ind w:left="720"/>
      <w:contextualSpacing/>
    </w:pPr>
    <w:rPr>
      <w:rFonts w:ascii="Calibri" w:eastAsia="Calibri" w:hAnsi="Calibri"/>
      <w:kern w:val="0"/>
      <w:sz w:val="22"/>
      <w:szCs w:val="22"/>
      <w:lang w:eastAsia="en-US"/>
    </w:rPr>
  </w:style>
  <w:style w:type="character" w:styleId="Odwoaniedokomentarza">
    <w:name w:val="annotation reference"/>
    <w:rsid w:val="004A6B7B"/>
    <w:rPr>
      <w:sz w:val="16"/>
      <w:szCs w:val="16"/>
    </w:rPr>
  </w:style>
  <w:style w:type="paragraph" w:customStyle="1" w:styleId="CommentText1">
    <w:name w:val="Comment Text1"/>
    <w:basedOn w:val="Normalny"/>
    <w:next w:val="Tekstkomentarza"/>
    <w:link w:val="CommentTextChar"/>
    <w:rsid w:val="004A6B7B"/>
    <w:pPr>
      <w:spacing w:after="160" w:line="240" w:lineRule="auto"/>
    </w:pPr>
    <w:rPr>
      <w:rFonts w:ascii="Times New Roman" w:hAnsi="Times New Roman"/>
      <w:kern w:val="0"/>
      <w:sz w:val="20"/>
      <w:szCs w:val="20"/>
      <w:lang w:val="fr-BE" w:eastAsia="fr-BE"/>
    </w:rPr>
  </w:style>
  <w:style w:type="character" w:customStyle="1" w:styleId="CommentTextChar">
    <w:name w:val="Comment Text Char"/>
    <w:link w:val="CommentText1"/>
    <w:rsid w:val="004A6B7B"/>
    <w:rPr>
      <w:sz w:val="20"/>
      <w:szCs w:val="20"/>
    </w:rPr>
  </w:style>
  <w:style w:type="paragraph" w:customStyle="1" w:styleId="FootnoteText1">
    <w:name w:val="Footnote Text1"/>
    <w:basedOn w:val="Normalny"/>
    <w:next w:val="Tekstprzypisudolnego"/>
    <w:link w:val="FootnoteTextChar"/>
    <w:rsid w:val="004A6B7B"/>
    <w:pPr>
      <w:spacing w:line="240" w:lineRule="auto"/>
    </w:pPr>
    <w:rPr>
      <w:rFonts w:ascii="Times New Roman" w:hAnsi="Times New Roman"/>
      <w:kern w:val="0"/>
      <w:sz w:val="20"/>
      <w:szCs w:val="20"/>
      <w:lang w:val="fr-BE" w:eastAsia="fr-BE"/>
    </w:rPr>
  </w:style>
  <w:style w:type="character" w:customStyle="1" w:styleId="FootnoteTextChar">
    <w:name w:val="Footnote Text Char"/>
    <w:link w:val="FootnoteText1"/>
    <w:rsid w:val="004A6B7B"/>
    <w:rPr>
      <w:sz w:val="20"/>
      <w:szCs w:val="20"/>
    </w:rPr>
  </w:style>
  <w:style w:type="character" w:styleId="Odwoanieprzypisudolnego">
    <w:name w:val="footnote reference"/>
    <w:rsid w:val="004A6B7B"/>
    <w:rPr>
      <w:vertAlign w:val="superscript"/>
    </w:rPr>
  </w:style>
  <w:style w:type="paragraph" w:styleId="Akapitzlist">
    <w:name w:val="List Paragraph"/>
    <w:basedOn w:val="Normalny"/>
    <w:qFormat/>
    <w:rsid w:val="004A6B7B"/>
    <w:pPr>
      <w:ind w:left="708"/>
    </w:pPr>
  </w:style>
  <w:style w:type="paragraph" w:styleId="Tekstkomentarza">
    <w:name w:val="annotation text"/>
    <w:basedOn w:val="Normalny"/>
    <w:link w:val="TekstkomentarzaZnak"/>
    <w:rsid w:val="004A6B7B"/>
    <w:rPr>
      <w:sz w:val="20"/>
      <w:szCs w:val="20"/>
    </w:rPr>
  </w:style>
  <w:style w:type="character" w:customStyle="1" w:styleId="TekstkomentarzaZnak">
    <w:name w:val="Tekst komentarza Znak"/>
    <w:link w:val="Tekstkomentarza"/>
    <w:rsid w:val="004A6B7B"/>
    <w:rPr>
      <w:rFonts w:ascii="Georgia" w:hAnsi="Georgia"/>
      <w:kern w:val="4"/>
      <w:lang w:eastAsia="de-DE"/>
    </w:rPr>
  </w:style>
  <w:style w:type="paragraph" w:styleId="Tekstprzypisudolnego">
    <w:name w:val="footnote text"/>
    <w:basedOn w:val="Normalny"/>
    <w:link w:val="TekstprzypisudolnegoZnak"/>
    <w:rsid w:val="004A6B7B"/>
    <w:rPr>
      <w:sz w:val="20"/>
      <w:szCs w:val="20"/>
    </w:rPr>
  </w:style>
  <w:style w:type="character" w:customStyle="1" w:styleId="TekstprzypisudolnegoZnak">
    <w:name w:val="Tekst przypisu dolnego Znak"/>
    <w:link w:val="Tekstprzypisudolnego"/>
    <w:rsid w:val="004A6B7B"/>
    <w:rPr>
      <w:rFonts w:ascii="Georgia" w:hAnsi="Georgia"/>
      <w:kern w:val="4"/>
      <w:lang w:eastAsia="de-DE"/>
    </w:rPr>
  </w:style>
  <w:style w:type="paragraph" w:styleId="Tematkomentarza">
    <w:name w:val="annotation subject"/>
    <w:basedOn w:val="Tekstkomentarza"/>
    <w:next w:val="Tekstkomentarza"/>
    <w:link w:val="TematkomentarzaZnak"/>
    <w:rsid w:val="00BF1326"/>
    <w:rPr>
      <w:b/>
      <w:bCs/>
    </w:rPr>
  </w:style>
  <w:style w:type="character" w:customStyle="1" w:styleId="TematkomentarzaZnak">
    <w:name w:val="Temat komentarza Znak"/>
    <w:link w:val="Tematkomentarza"/>
    <w:rsid w:val="00BF1326"/>
    <w:rPr>
      <w:rFonts w:ascii="Georgia" w:hAnsi="Georgia"/>
      <w:b/>
      <w:bCs/>
      <w:kern w:val="4"/>
      <w:lang w:eastAsia="de-DE"/>
    </w:rPr>
  </w:style>
  <w:style w:type="character" w:styleId="Hipercze">
    <w:name w:val="Hyperlink"/>
    <w:rsid w:val="00292912"/>
    <w:rPr>
      <w:color w:val="0000FF"/>
      <w:u w:val="single"/>
    </w:rPr>
  </w:style>
  <w:style w:type="character" w:styleId="Nierozpoznanawzmianka">
    <w:name w:val="Unresolved Mention"/>
    <w:rsid w:val="00436671"/>
    <w:rPr>
      <w:color w:val="605E5C"/>
      <w:shd w:val="clear" w:color="auto" w:fill="E1DFDD"/>
    </w:rPr>
  </w:style>
  <w:style w:type="paragraph" w:styleId="Poprawka">
    <w:name w:val="Revision"/>
    <w:hidden/>
    <w:rsid w:val="00F85F6C"/>
    <w:rPr>
      <w:rFonts w:ascii="Georgia" w:hAnsi="Georgia"/>
      <w:kern w:val="4"/>
      <w:sz w:val="21"/>
      <w:szCs w:val="24"/>
    </w:rPr>
  </w:style>
  <w:style w:type="paragraph" w:styleId="Tekstprzypisukocowego">
    <w:name w:val="endnote text"/>
    <w:basedOn w:val="Normalny"/>
    <w:link w:val="TekstprzypisukocowegoZnak"/>
    <w:rsid w:val="00151756"/>
    <w:rPr>
      <w:sz w:val="20"/>
      <w:szCs w:val="20"/>
    </w:rPr>
  </w:style>
  <w:style w:type="character" w:customStyle="1" w:styleId="TekstprzypisukocowegoZnak">
    <w:name w:val="Tekst przypisu końcowego Znak"/>
    <w:link w:val="Tekstprzypisukocowego"/>
    <w:rsid w:val="00151756"/>
    <w:rPr>
      <w:rFonts w:ascii="Georgia" w:hAnsi="Georgia"/>
      <w:kern w:val="4"/>
    </w:rPr>
  </w:style>
  <w:style w:type="character" w:styleId="Odwoanieprzypisukocowego">
    <w:name w:val="endnote reference"/>
    <w:rsid w:val="00151756"/>
    <w:rPr>
      <w:vertAlign w:val="superscript"/>
    </w:rPr>
  </w:style>
  <w:style w:type="character" w:styleId="Tekstzastpczy">
    <w:name w:val="Placeholder Text"/>
    <w:basedOn w:val="Domylnaczcionkaakapitu"/>
    <w:rsid w:val="00BF17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69267">
      <w:bodyDiv w:val="1"/>
      <w:marLeft w:val="1190"/>
      <w:marRight w:val="1190"/>
      <w:marTop w:val="143"/>
      <w:marBottom w:val="143"/>
      <w:divBdr>
        <w:top w:val="none" w:sz="0" w:space="0" w:color="auto"/>
        <w:left w:val="none" w:sz="0" w:space="0" w:color="auto"/>
        <w:bottom w:val="none" w:sz="0" w:space="0" w:color="auto"/>
        <w:right w:val="none" w:sz="0" w:space="0" w:color="auto"/>
      </w:divBdr>
    </w:div>
    <w:div w:id="276445408">
      <w:bodyDiv w:val="1"/>
      <w:marLeft w:val="0"/>
      <w:marRight w:val="0"/>
      <w:marTop w:val="0"/>
      <w:marBottom w:val="0"/>
      <w:divBdr>
        <w:top w:val="none" w:sz="0" w:space="0" w:color="auto"/>
        <w:left w:val="none" w:sz="0" w:space="0" w:color="auto"/>
        <w:bottom w:val="none" w:sz="0" w:space="0" w:color="auto"/>
        <w:right w:val="none" w:sz="0" w:space="0" w:color="auto"/>
      </w:divBdr>
    </w:div>
    <w:div w:id="363597934">
      <w:bodyDiv w:val="1"/>
      <w:marLeft w:val="0"/>
      <w:marRight w:val="0"/>
      <w:marTop w:val="0"/>
      <w:marBottom w:val="0"/>
      <w:divBdr>
        <w:top w:val="none" w:sz="0" w:space="0" w:color="auto"/>
        <w:left w:val="none" w:sz="0" w:space="0" w:color="auto"/>
        <w:bottom w:val="none" w:sz="0" w:space="0" w:color="auto"/>
        <w:right w:val="none" w:sz="0" w:space="0" w:color="auto"/>
      </w:divBdr>
    </w:div>
    <w:div w:id="475493764">
      <w:bodyDiv w:val="1"/>
      <w:marLeft w:val="0"/>
      <w:marRight w:val="0"/>
      <w:marTop w:val="0"/>
      <w:marBottom w:val="0"/>
      <w:divBdr>
        <w:top w:val="none" w:sz="0" w:space="0" w:color="auto"/>
        <w:left w:val="none" w:sz="0" w:space="0" w:color="auto"/>
        <w:bottom w:val="none" w:sz="0" w:space="0" w:color="auto"/>
        <w:right w:val="none" w:sz="0" w:space="0" w:color="auto"/>
      </w:divBdr>
    </w:div>
    <w:div w:id="976644101">
      <w:bodyDiv w:val="1"/>
      <w:marLeft w:val="0"/>
      <w:marRight w:val="0"/>
      <w:marTop w:val="0"/>
      <w:marBottom w:val="0"/>
      <w:divBdr>
        <w:top w:val="none" w:sz="0" w:space="0" w:color="auto"/>
        <w:left w:val="none" w:sz="0" w:space="0" w:color="auto"/>
        <w:bottom w:val="none" w:sz="0" w:space="0" w:color="auto"/>
        <w:right w:val="none" w:sz="0" w:space="0" w:color="auto"/>
      </w:divBdr>
    </w:div>
    <w:div w:id="1111827359">
      <w:bodyDiv w:val="1"/>
      <w:marLeft w:val="0"/>
      <w:marRight w:val="0"/>
      <w:marTop w:val="0"/>
      <w:marBottom w:val="0"/>
      <w:divBdr>
        <w:top w:val="none" w:sz="0" w:space="0" w:color="auto"/>
        <w:left w:val="none" w:sz="0" w:space="0" w:color="auto"/>
        <w:bottom w:val="none" w:sz="0" w:space="0" w:color="auto"/>
        <w:right w:val="none" w:sz="0" w:space="0" w:color="auto"/>
      </w:divBdr>
    </w:div>
    <w:div w:id="1215384877">
      <w:bodyDiv w:val="1"/>
      <w:marLeft w:val="0"/>
      <w:marRight w:val="0"/>
      <w:marTop w:val="0"/>
      <w:marBottom w:val="0"/>
      <w:divBdr>
        <w:top w:val="none" w:sz="0" w:space="0" w:color="auto"/>
        <w:left w:val="none" w:sz="0" w:space="0" w:color="auto"/>
        <w:bottom w:val="none" w:sz="0" w:space="0" w:color="auto"/>
        <w:right w:val="none" w:sz="0" w:space="0" w:color="auto"/>
      </w:divBdr>
    </w:div>
    <w:div w:id="1586961720">
      <w:bodyDiv w:val="1"/>
      <w:marLeft w:val="0"/>
      <w:marRight w:val="0"/>
      <w:marTop w:val="0"/>
      <w:marBottom w:val="0"/>
      <w:divBdr>
        <w:top w:val="none" w:sz="0" w:space="0" w:color="auto"/>
        <w:left w:val="none" w:sz="0" w:space="0" w:color="auto"/>
        <w:bottom w:val="none" w:sz="0" w:space="0" w:color="auto"/>
        <w:right w:val="none" w:sz="0" w:space="0" w:color="auto"/>
      </w:divBdr>
    </w:div>
    <w:div w:id="1636327478">
      <w:bodyDiv w:val="1"/>
      <w:marLeft w:val="0"/>
      <w:marRight w:val="0"/>
      <w:marTop w:val="0"/>
      <w:marBottom w:val="0"/>
      <w:divBdr>
        <w:top w:val="none" w:sz="0" w:space="0" w:color="auto"/>
        <w:left w:val="none" w:sz="0" w:space="0" w:color="auto"/>
        <w:bottom w:val="none" w:sz="0" w:space="0" w:color="auto"/>
        <w:right w:val="none" w:sz="0" w:space="0" w:color="auto"/>
      </w:divBdr>
    </w:div>
    <w:div w:id="1638292295">
      <w:bodyDiv w:val="1"/>
      <w:marLeft w:val="0"/>
      <w:marRight w:val="0"/>
      <w:marTop w:val="0"/>
      <w:marBottom w:val="0"/>
      <w:divBdr>
        <w:top w:val="none" w:sz="0" w:space="0" w:color="auto"/>
        <w:left w:val="none" w:sz="0" w:space="0" w:color="auto"/>
        <w:bottom w:val="none" w:sz="0" w:space="0" w:color="auto"/>
        <w:right w:val="none" w:sz="0" w:space="0" w:color="auto"/>
      </w:divBdr>
    </w:div>
    <w:div w:id="1721978599">
      <w:bodyDiv w:val="1"/>
      <w:marLeft w:val="0"/>
      <w:marRight w:val="0"/>
      <w:marTop w:val="0"/>
      <w:marBottom w:val="0"/>
      <w:divBdr>
        <w:top w:val="none" w:sz="0" w:space="0" w:color="auto"/>
        <w:left w:val="none" w:sz="0" w:space="0" w:color="auto"/>
        <w:bottom w:val="none" w:sz="0" w:space="0" w:color="auto"/>
        <w:right w:val="none" w:sz="0" w:space="0" w:color="auto"/>
      </w:divBdr>
    </w:div>
    <w:div w:id="1818765945">
      <w:bodyDiv w:val="1"/>
      <w:marLeft w:val="0"/>
      <w:marRight w:val="0"/>
      <w:marTop w:val="0"/>
      <w:marBottom w:val="0"/>
      <w:divBdr>
        <w:top w:val="none" w:sz="0" w:space="0" w:color="auto"/>
        <w:left w:val="none" w:sz="0" w:space="0" w:color="auto"/>
        <w:bottom w:val="none" w:sz="0" w:space="0" w:color="auto"/>
        <w:right w:val="none" w:sz="0" w:space="0" w:color="auto"/>
      </w:divBdr>
    </w:div>
    <w:div w:id="1845512417">
      <w:bodyDiv w:val="1"/>
      <w:marLeft w:val="0"/>
      <w:marRight w:val="0"/>
      <w:marTop w:val="0"/>
      <w:marBottom w:val="0"/>
      <w:divBdr>
        <w:top w:val="none" w:sz="0" w:space="0" w:color="auto"/>
        <w:left w:val="none" w:sz="0" w:space="0" w:color="auto"/>
        <w:bottom w:val="none" w:sz="0" w:space="0" w:color="auto"/>
        <w:right w:val="none" w:sz="0" w:space="0" w:color="auto"/>
      </w:divBdr>
    </w:div>
    <w:div w:id="1890455520">
      <w:bodyDiv w:val="1"/>
      <w:marLeft w:val="0"/>
      <w:marRight w:val="0"/>
      <w:marTop w:val="0"/>
      <w:marBottom w:val="0"/>
      <w:divBdr>
        <w:top w:val="none" w:sz="0" w:space="0" w:color="auto"/>
        <w:left w:val="none" w:sz="0" w:space="0" w:color="auto"/>
        <w:bottom w:val="none" w:sz="0" w:space="0" w:color="auto"/>
        <w:right w:val="none" w:sz="0" w:space="0" w:color="auto"/>
      </w:divBdr>
    </w:div>
    <w:div w:id="190089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riinfo.copa-cogeca.eu/Download.ashx?ID=3896025"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griinfo.copa-cogeca.eu/Download.ashx?ID=390039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griinfo.copa-cogeca.eu/Download.ashx?ID=389558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griinfo.copa-cogeca.eu/Download.ashx?ID=3896998"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D993D-7EBF-4BB2-B165-B29473947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4874</Words>
  <Characters>29245</Characters>
  <Application>Microsoft Office Word</Application>
  <DocSecurity>0</DocSecurity>
  <Lines>243</Lines>
  <Paragraphs>68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Copa-Cogeca - European Farmers</Company>
  <LinksUpToDate>false</LinksUpToDate>
  <CharactersWithSpaces>34051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Template letter;
Version 002;
2008-09-18;</dc:description>
  <cp:lastModifiedBy>Dell</cp:lastModifiedBy>
  <cp:revision>3</cp:revision>
  <cp:lastPrinted>2008-10-28T18:53:00Z</cp:lastPrinted>
  <dcterms:created xsi:type="dcterms:W3CDTF">2021-07-29T12:28:00Z</dcterms:created>
  <dcterms:modified xsi:type="dcterms:W3CDTF">2021-10-26T11:51:00Z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WThreadMemo">
    <vt:lpwstr>OV(21)3311:1</vt:lpwstr>
  </property>
</Properties>
</file>