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FC" w:rsidRPr="00FC14B3" w:rsidRDefault="003815FC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Kokcydiostatyk: antybiotyk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czy dodatek paszowy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?</w:t>
      </w:r>
    </w:p>
    <w:p w:rsidR="00C30147" w:rsidRPr="00FC14B3" w:rsidRDefault="00B10FAC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osiągnięcia w ostatnim dziesięcioleciu 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wysokiego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</w:t>
      </w:r>
      <w:r w:rsidR="0043214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opnia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zdrow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otnosci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dobrostanu zwierząt w produkcji drobiu. </w:t>
      </w:r>
      <w:r w:rsidR="003F2B94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 czasu do czasu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F2B94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toczona jest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dyskusja nad tym, czym właściwie są kokcydiostatyki: dodatk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pasz lub antybiotyk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3F2B94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 n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chwilę obecną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wydaje się, </w:t>
      </w:r>
    </w:p>
    <w:p w:rsidR="003815FC" w:rsidRPr="00FC14B3" w:rsidRDefault="003F2B94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Użycie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 raz pierwszy 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kokcydiostatyk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jonoforowe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(monenzyny) w latach 70.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spowodowało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istotny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postęp w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walce z kokcydiozą. Wcześniej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zachorowania na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tę kokocidiozę były częste. T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rudniejsze było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bowiem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zapobieganie i leczeni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tej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chorob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B10FA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gdyż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były 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dostępne tylko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​​jonoforowe 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kokcydiostatyki. Były one o wiele mniej skuteczne, </w:t>
      </w:r>
      <w:r w:rsidR="003B6A8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gdyż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natępowało szybkie uodparnianie pasożyt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tego rodzaju środki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B378F" w:rsidRPr="00FC14B3" w:rsidRDefault="003B6A80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Unii Europejskiej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obecnie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producenci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powszechnie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dodają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kokcydiostatyki jonoforowe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 dla drobiu,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dlatego że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zapobiegają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problemom zdrowotnym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wywoływanymi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przez jednokomórkowe pasożyty Eimeria.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chwilę obecną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Unia Europejska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uznaje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kokcydiostatyki jonoforowe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dodatki pasz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Od lat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ten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temat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podmiotem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okresowo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prowadzonych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burzliwych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debat. Niektór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zy uczestnicy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debaty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sądzą że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byłoby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zaliczenie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 do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gdy inn</w:t>
      </w:r>
      <w:r w:rsidR="002071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uważają, że powinny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pozosta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wać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uznawane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dodatki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paszowe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Dlaczego U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uropejska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chce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uznawać kokcydiostatyki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paszow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Istnieje wiele powodów, dla których Unia Europejska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zdecydowała się na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przeklasyfikowanie kokcydiostatyków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grupy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dodatk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owych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Kokcydioza jest chorobą endemiczną - pasożyt jest powszechnie obecny (cyst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) i jest bardzo odporny na warunki środowiskowe. Ponadto występuje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 wszystkich systemach </w:t>
      </w:r>
      <w:r w:rsidR="003B6A8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chowu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Wizyta u weterynarza nie jest konieczna, aby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stwierdzenia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obecnoś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pasożyta, co również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powoduje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niepotrzebne koszty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procesu produkcji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Uznanie kokcydiostatyków za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 oznacza również spełnienie surowych wymagań produkcyjnych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odnośnie stosowania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 i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ponoszenie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niepotrzebnych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koszt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Oprócz tego stosowanie kokcydiostatyków jako dodatków paszowych gwarantuje prawidłowe dawkowanie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Substancję tę można bowiem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równomiernie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dawkować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 jest rozproszona w zadawanej paszy,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zapobiega nadmiernemu lub niedostatecznemu dawkowaniu.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co z</w:t>
      </w:r>
      <w:r w:rsidR="00741BB6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zwiększaniem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uodparniania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?</w:t>
      </w:r>
    </w:p>
    <w:p w:rsidR="006B378F" w:rsidRPr="00FC14B3" w:rsidRDefault="00741BB6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co ze zwiększaniem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uodparniania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- opornością pasożyta na kokcydiostatyki jonoforowe i oporność </w:t>
      </w:r>
      <w:r w:rsidR="00070E3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ludzi? Badania nad ryzykiem stosowania kokcydiostatyków jonoforowych, przeprowadzone przez Norweski Komitet Naukowy ds. Bezpieczeństwa Żywności, wskazują, że stosowanie kokcydiostatyków może prowadzić do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zwiększania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oporności na środki przeciw kokcydiozie jonoforowej i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-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bacytracyn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wankomycyn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one są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wykorzystywane w opiece zdrowotnej ludzi. Norwescy naukowcy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zaznaczają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uzyskali te wyniki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niewielkiej liczby obserwacji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oraz że rząd 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norweski nie ogranicza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stosowania kokcydiostatyków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B378F" w:rsidRPr="00FC14B3" w:rsidRDefault="004259D7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tej pory nie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stwierdzono</w:t>
      </w:r>
      <w:r w:rsidR="006B378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uodparniania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Kokcydiostatyki jonoforowe są stosowane na całym świecie od lat i do tej pory nie wykryto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uodpornienia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pasożytów na kokcydiostatyki jonoforowe. Mechanizm działania jonoforów jest unikalny pod względem farmakologiczn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co powoduje że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różnią się one całkowicie od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antybiotyków ludzkich i zwierzęcych lub tylko antybiotyków ludzkich. Oznacza to, że nie przyczyniają się one do 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uodparniania ludzi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antybiotyki.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"Bezpieczeństwo antykokcydi</w:t>
      </w:r>
      <w:r w:rsidR="004259D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astyków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jonoforowych jest ponownie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sygnalizowane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przez fakt, że nie znajdują się na liście antybiotyków medycznie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istotnych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opracowanej przez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Światow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Organizacj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Zdrowia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także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listy antybiotyków, które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nadzoruje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Światowa Organizacja Zdrowia Zwierząt", mówi Rolf Poelstra z Elanco Animal Health, jed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nego z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najwięks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zych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producen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kokcydiostatyków jonoforowych.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Jonoforowe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kokcydiostatyki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stanowią jedno z narzędzi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nie części problemu,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uważa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pan Poelstra.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"Zapobieganie kokcydiozie ma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kluczowe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znaczenie dla lepsze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 zdrowotności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jelita i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tym samym wpływa na stan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zdrowia zwierząt,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lepszego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dobrostanu zwierząt, </w:t>
      </w:r>
      <w:r w:rsidR="00F632BD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skuteczniejszej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obrony przed wtórnymi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zakażeniami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(i z tego powodu,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zmniejszenia użycia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antybiotyków) i dobrej konwersji paszy. Krótko mówiąc: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zapobieganie kokocydiozie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niezbędne dla 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efektywnego, zrównoważonego  chowu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drobiu, któr</w:t>
      </w:r>
      <w:r w:rsidR="00564ED5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bardzo potrzebujemy dla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sprosta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zwiększającemu się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popytowi na drób."</w:t>
      </w:r>
    </w:p>
    <w:p w:rsidR="006B378F" w:rsidRPr="00FC14B3" w:rsidRDefault="00FC14B3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Norwegii i w Stanach Zjednoczonych stosowanie kokcydiostatyków nie jest normowane 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Są kraje, w których stosowanie kokcydiostatyków nie jest już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normowane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Dotyczy to w większości przypadków w Norwegii i Stanach Zjednoczonych. W USA znacznie wzrosła produkcja drobiu w tak zwanych łańcuchach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wolnych od antybiotyków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="00F632BD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uwagi na fakt, że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632BD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USA </w:t>
      </w:r>
      <w:r w:rsidR="00F632BD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kokcydiostatyki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uzna</w:t>
      </w:r>
      <w:r w:rsidR="00F632BD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ne są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antybiotyki, nie są one stosowane w tych łańcuchach. Europejscy hodowcy brojlerów nie chcą środków, które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zakazywały by</w:t>
      </w:r>
      <w:r w:rsidR="00D3444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dodawania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kokcydiostatyków </w:t>
      </w:r>
      <w:r w:rsidR="00D3444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pasz. </w:t>
      </w:r>
      <w:r w:rsidR="00070E3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Wśród innych zagadnień 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skazują na koszt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chowu brojlerów bez kokcydiostatyków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USA</w:t>
      </w:r>
      <w:r w:rsidR="00070E3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które n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ie zawsze są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korzystne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"Zakaz stosowania kokcydiostatyków nie przyczynia się do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efektywnej,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zrównoważonej produkcji pasz"</w:t>
      </w:r>
    </w:p>
    <w:p w:rsidR="006B378F" w:rsidRPr="00FC14B3" w:rsidRDefault="006B378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Zrównoważona produkcja to nie tylko produkcja przyjazna dla środowiska.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Kierowanie  uwagi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efektywność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oraz na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dobrostan ludzi i zwierząt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są także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bardzo ważn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- uważa Matthew J Salois. Jest 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głównym ekonomistą Amerykańskiego Stowarzyszenia Lekarzy Weterynaryjnych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który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prowadził badania nad zrównoważeniem</w:t>
      </w:r>
      <w:r w:rsidR="00D3444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woln</w:t>
      </w:r>
      <w:r w:rsidR="008C4171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ych </w:t>
      </w:r>
      <w:r w:rsidR="00D34447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 antybiotyków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łańcuchów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produkcji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drobiu w Stanach Zjednoczonych.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Według jego opinii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nie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istnieje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zrównoważon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rozw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ój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W Stanach Zjednoczonych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wolna od antybiotyków produkcja drobiu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oznacza również brak kokcydiostatyków.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Obecnie, te wolne od antybiotyków ł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ańcuchy stanowią prawie połowę produkcji drobiu w USA.</w:t>
      </w:r>
    </w:p>
    <w:p w:rsidR="001940FE" w:rsidRPr="00FC14B3" w:rsidRDefault="00070E39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dobrostanem zwierząt w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łańcuchach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wolnych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 antybiotyków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?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"Śmiertelność mówi wiele o dobrostanie zwierząt w kurnikach. Od lat obserwujemy spadek śmiertelności w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chowie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drobiu. Jednak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2013 r. następuje powolne zwiększanie wartości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wskaźnik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śmiertelności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owodem tego wzrostu sa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łańcuchy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wolne od antybiotyków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W tych łańcuchach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bowiem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średni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wartość wskaźnika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śmiertelnoś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wynosi obecnie 5,5%, w porównaniu z 3-3,5% w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produkcji </w:t>
      </w:r>
      <w:r w:rsidR="00D233F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konwencjonalnej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1940FE" w:rsidRPr="00FC14B3" w:rsidRDefault="00D233FF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Zaobserwowaliśmy </w:t>
      </w:r>
      <w:r w:rsidR="00070E3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znacznie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więcej problemów zdrowotnych 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łańcuchach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wolnych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 antybiotyków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przykład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: 3,5 raz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większe pogorszenie rogów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z powodu obecności amoniaku w powietrzu, 1,4 raz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więcej uszkodzeń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poduszek w łapkach kurzych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>1,5 raz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kszej liczby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problemów z oddychaniem. Te trzy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stany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są nie tylko bardziej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powszechne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kurnikach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chowanego w systemach wolnych od antybiotyków ale są one także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znacząco bardziej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poważniejsze. "</w:t>
      </w:r>
    </w:p>
    <w:p w:rsidR="001940FE" w:rsidRPr="00FC14B3" w:rsidRDefault="00070E39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punktu widzenia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środowisk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?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"Z powodu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wydłużonego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okresu wzrostu i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niższego wskaźnika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konwersji paszy, produkcja drobiu w łańcuchach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wolnych od antybiotyków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jest znacznie mniej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efektywna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W połączeniu z wyższym wskaźnikiem śmiertelności oznacza to, że należy utrzym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ywać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znacznie więcej brojlerów,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odpowiedniego zaspokojenia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popyt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mięso drobiowe. Wyliczyliśmy, że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tego powodu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potrzeba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by było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chować o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680 do 880 milionów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więcej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do wy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tworzenia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wystarczającej ilości mięsa dla amerykańskich konsumentów,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gdyby cała produkcja drób byłaby realizowana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łańcuchach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wolnych od antybiotyków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 szokujące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gdy te skutki przełożymy na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dodatkowe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zużycie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pasz, wod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ziemi dla tych kurczaków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Szczególnie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 sobie u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świadom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imy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popyt na żywność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będzie gwałtownie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wzr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astał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nadchodzących latach. "</w:t>
      </w:r>
    </w:p>
    <w:p w:rsidR="001940FE" w:rsidRPr="00FC14B3" w:rsidRDefault="00264A4D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Czy jest oczywiste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że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przedsiębiorcy którzy zdecydowali się na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uczestnictwo 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łańcuchach </w:t>
      </w:r>
      <w:r w:rsidR="00A12A3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wolnych od antybiotyków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muszą być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efektywni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ekonomicznie?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"Brakuje także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zrównoważenia ekonomicznego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Przedsiębiorcy, którzy produkują drób w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łańcuchach wolnych od antybiotyków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otrzymują wyższą cenę za swoje zwierzęta, ale muszą też radzić sobie z dużo wyższą ceną zakupu. Ponadto zauważyliśmy, że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ciągu ostatnich kilku lat coraz bardziej maleje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różnica cen między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łańcuchami  wolnymi od antybiotyków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lańcuchami konwencjonalnymi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Wynika to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trudn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ości w osiąganiu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przyrostów tuszy </w:t>
      </w:r>
      <w:r w:rsidR="00491B89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drobiu w łańcuchach wolnych od antybiotyków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."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Zapotrzebowanie konsumentów na drób z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łańcuchów wolnych od antybiotyków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oczywiście duże. Czy nie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lepiej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byłoby zaakceptować tę formę produkcji?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końcu p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ozostaje pytanie, czy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to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naprawdę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czego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oczekują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konsumenci. Uważamy, że wielu konsumentów jest zdezorientowanych.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Wskazuja na to wyniki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badania. Wydaje się, że wielu konsumentów uważa, że ​​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konwencjonalne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kurczaki zawierają antybiotyki i hormony. Dlatego wybierają mięso z etykietą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wolne od antybiotyków”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Jeśli chodzi o nas, stosowanie antybiotyków dla chorych zwierząt nie powinno być częścią marketingu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odnoszącego się do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mięsa drobiowego. Lepiej pozwolić konsumentowi wybierać dobrostan zwierząt i zrównoważony rozwój. Są to tematy, któr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dotyczą praktych stowanych obecnie przez producentów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brojlerów."</w:t>
      </w:r>
    </w:p>
    <w:p w:rsidR="001940FE" w:rsidRPr="00FC14B3" w:rsidRDefault="00FC14B3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Obecna j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est stale powtarzana pogłoska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że ​​kokcydiostatyki będą stopniowo wycofywane. Nie wiadomo, skąd pochodzi ta pogłoska lub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 jest to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fałszyw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U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nia Europejska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uregulowała stosowanie kokcydiostatyków w rozporządzeniu nr 1831/2003.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Zawiera ona wyni pracy w zakresie aktualizacji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rozporządzenia, w którym nakreślono stosowanie dodatków paszowych,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 też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D6020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stosowanie</w:t>
      </w:r>
      <w:r w:rsidR="001940FE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kokcydiostatyków.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Eurodeputowana Annie Schreijer-Pierik (CDA) uważa, że ​​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jest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ważne, aby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producenci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w UE mogli nadal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stosować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paszach. Kiedy napisano projekt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uropejskiego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Jednolitego P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lanu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ziałania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odnośnie Uodparniania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środki przeciwdrobnoustrojowe, pani Schreijer zaproponowała we wrześniu poprawkę, zapewnia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jącą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dostępność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czynników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przeciwko niektórym pierwotniakom, takim jak kokcydia. Poprawka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posła Schreijera została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zaakceptowana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przez Parlament Europejski i została włączona do rezolucji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Komisji Europejskiej.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Pani Schreijer uważa, że ​​niepotrzebne ograniczenie kokcydiostatyków może nawet przynieść efekt przeciwny do zamierzonego,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gdyż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brojlery, które nie otrzymują kokcydiostatyków w paszach, </w:t>
      </w:r>
      <w:r w:rsidR="0010622F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częściej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chorują. "Może to w sposób niezamierzony prowadzić do zwiększonego ryzyka zakażenia ludzi niebezpiecznymi bakteriami, takimi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 salmonella i drobnoustroje zawartych 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żywności" - mówi. Podkreśla, że ​​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wysoce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ceni sobie zapobieganie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uodparnianiu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antybiotyki. "Uważnie śledzimy debatę na ten temat. Ważniejsze jest jednak stymulowanie redukcji antybiotyków w sektorze ludzkim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zakaz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ywania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dodatków paszowych, a tym samym zwiększeni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ryzyka związanego z bezpieczeństwem żywności poprzez wzrost np. Salmonelli lub większ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uzależnienie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 krajów trzecich, na przykład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przypadku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piersi kurczaka." Schreijer oczekuje na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propozycje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zmiany rozporządzenia UE w sprawie dodatków paszowych i jeśli to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będzie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konieczne, podejmie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adekwatne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działania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przypadku gdy takowa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propozycja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będzie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ogranicza</w:t>
      </w:r>
      <w:r w:rsidR="00E45D2A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ć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stosowanie kokcydiostatyków.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chwili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obecnej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ma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żadnych sygnałów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Komisja Europejska planuje usunąć kokcydiostatyki z listy dodatków paszowych. Są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interesariusze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takie jak Fede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racja Weterynarzy Europy (FVE), którzy tego się domagają.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Organizacja ta uważa, że ​​kokcydiostatyki nie powinny być klasyfikowane jako dodatki pasz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Według FVE bardziej uzasadnione jest zezwolenie na stosowanie kokcydiostatyków,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takich przypadkach, kiedy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weterynarz przepisuje je jako antybiotyk. Może to pomóc w ograniczeniu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uodparniania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pasożytów Eimeria na pewne typy kokcydiostatyków.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tak zwanym dokumencie pozycyjnym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Federacja Weterynarzy Europy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wskazuje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także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kokcydiostatyki jonoforowe mogą być stosowane w przyszłości w opiece zdrowotnej dla ludzi w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przypadku zwalczania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raka. Niektóre badania wskazują, że monensyna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stosowana jako śrdek p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rzeciw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kokcydiozie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wykazuje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działanie hamujące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rozwoju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komórek raka nerki.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nl-NL" w:eastAsia="pl-PL"/>
        </w:rPr>
        <w:t>Przeczytaj także: Spór o kokcydiostatyki u drobiu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Pasożyty Eimeria zagrażają wszystkim stadom brojlerów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Pasożyty typu Eimeria mogą powodować kokcydiozę. Pasożyt ten jest powszechnie obecny i trwa w formie (tzw.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ocyst), która jest bardzo odporna na czynniki środowiskowe.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Dalszy rozwój o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ocysty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odbywa się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poza brojlerami w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formie przetrwalnikowej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które mogą przetrwać w odchodach przez tygodnie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glebie przez miesiące.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Kokcydioza to nazwa zbiorcza wielu infekcji przewodu pokarmowego u drobiu, z których każdy jest spowodowany innym typem Eimeria (Eimeria acervulina, E. brunetti, E. maxima, E. necatrix i E. tenella). Oprócz tego istnieją jeszcze dwa typy Eimeria (E. mitis i E. praecox), które często nie są rozpoznawane jako choroba, ale powodują uszkodzenia u drobiu.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Niemal wszystkie stada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drobiu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cierpią na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jakąś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formę kokcydiozy. Większość ptaków wchodzi w styczność z różnymi rodzajami kokcydiozy w młodym wieku i jest chroniona przed tymi typami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kilku tygodni do końca życia.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Oprócz szkód finansowych spowodowanych zmniejszonym wzrostem i konwersją pasz, kokcydioza (w połączeniu z Clostridium Perfringens) często powoduje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zawilgocenie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ściółki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a przez to zmiany chorobowe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poduszek stóp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Każde stado brojlerów doświadcza kokcydiozy,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która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 zawsze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wywołuje zachorowania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Producenci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muszą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stosować ścisły nadzór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Oprócz dobrego zarządzania kurczętami (np.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akość paszy, jednodniowe pisklęta i klimat) oraz dokładnego czyszczenia i dezynfekcji kurników po każd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 cyklu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osiąga się poprzez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anie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kokcydiostatyk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paszy.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Pasożyty Eimeria mogą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wykształcić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obniżoną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wrażliwość na środek przeciw kokcydiozie.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A potrafią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nawet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prost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 sposób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pelni uodpornić się na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syntetyczne kokcydiostatyki. Aby zapobiec problemom związanym z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uodparnianiem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producenci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</w:t>
      </w:r>
      <w:r w:rsidR="00FC14B3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okresowo zmieniają środki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1940FE" w:rsidRPr="00FC14B3" w:rsidRDefault="001940FE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Berrie Klein Swormink</w:t>
      </w:r>
      <w:r w:rsidR="003815FC"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</w:t>
      </w:r>
      <w:r w:rsidRPr="00FC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orespondent</w:t>
      </w:r>
    </w:p>
    <w:p w:rsidR="007462F3" w:rsidRDefault="00FC14B3" w:rsidP="00FC14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4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3266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815FC" w:rsidRPr="00FC14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03</w:t>
      </w:r>
      <w:r w:rsidR="003266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815FC" w:rsidRPr="00FC14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815FC" w:rsidRPr="00FC14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Poultry W</w:t>
      </w:r>
      <w:r w:rsidR="007462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orld</w:t>
      </w:r>
    </w:p>
    <w:p w:rsidR="007462F3" w:rsidRDefault="007462F3" w:rsidP="00FC14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Tłumaczenie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PZZHiPD</w:t>
      </w:r>
      <w:proofErr w:type="spellEnd"/>
    </w:p>
    <w:p w:rsidR="007462F3" w:rsidRPr="007462F3" w:rsidRDefault="007462F3" w:rsidP="00FC14B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7462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FINANSOWANE Z FUNDUSZU PROMOCJI MIĘSA DROBIOWEGO</w:t>
      </w:r>
      <w:bookmarkStart w:id="0" w:name="_GoBack"/>
      <w:bookmarkEnd w:id="0"/>
    </w:p>
    <w:p w:rsidR="003815FC" w:rsidRPr="00FC14B3" w:rsidRDefault="003815FC" w:rsidP="00FC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C30147" w:rsidRPr="00FC14B3" w:rsidRDefault="00C30147" w:rsidP="00FC14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30147" w:rsidRPr="00FC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7"/>
    <w:rsid w:val="00070E39"/>
    <w:rsid w:val="000D6020"/>
    <w:rsid w:val="0010622F"/>
    <w:rsid w:val="001940FE"/>
    <w:rsid w:val="002071D7"/>
    <w:rsid w:val="00264A4D"/>
    <w:rsid w:val="00326652"/>
    <w:rsid w:val="003815FC"/>
    <w:rsid w:val="003B6A80"/>
    <w:rsid w:val="003F2B94"/>
    <w:rsid w:val="004259D7"/>
    <w:rsid w:val="00432143"/>
    <w:rsid w:val="00491B89"/>
    <w:rsid w:val="00564ED5"/>
    <w:rsid w:val="006B378F"/>
    <w:rsid w:val="00741BB6"/>
    <w:rsid w:val="007462F3"/>
    <w:rsid w:val="008C4171"/>
    <w:rsid w:val="00960447"/>
    <w:rsid w:val="00A12A3A"/>
    <w:rsid w:val="00A30EE0"/>
    <w:rsid w:val="00AE01CF"/>
    <w:rsid w:val="00B10FAC"/>
    <w:rsid w:val="00C30147"/>
    <w:rsid w:val="00D233FF"/>
    <w:rsid w:val="00D34447"/>
    <w:rsid w:val="00E45D2A"/>
    <w:rsid w:val="00F632BD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D95B"/>
  <w15:docId w15:val="{583B5282-5EB1-4D4D-82F0-527B150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0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1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01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1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147"/>
    <w:rPr>
      <w:color w:val="0000FF"/>
      <w:u w:val="single"/>
    </w:rPr>
  </w:style>
  <w:style w:type="paragraph" w:customStyle="1" w:styleId="kader-title">
    <w:name w:val="kader-title"/>
    <w:basedOn w:val="Normalny"/>
    <w:rsid w:val="00C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C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ta">
    <w:name w:val="meta"/>
    <w:basedOn w:val="Normalny"/>
    <w:rsid w:val="00C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30147"/>
  </w:style>
  <w:style w:type="paragraph" w:styleId="Tekstdymka">
    <w:name w:val="Balloon Text"/>
    <w:basedOn w:val="Normalny"/>
    <w:link w:val="TekstdymkaZnak"/>
    <w:uiPriority w:val="99"/>
    <w:semiHidden/>
    <w:unhideWhenUsed/>
    <w:rsid w:val="006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52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13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318-0204-4CCC-A1B0-491B74B8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2</cp:revision>
  <dcterms:created xsi:type="dcterms:W3CDTF">2019-03-26T09:55:00Z</dcterms:created>
  <dcterms:modified xsi:type="dcterms:W3CDTF">2019-03-26T09:55:00Z</dcterms:modified>
</cp:coreProperties>
</file>